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186F76" w14:textId="36F5CB9D" w:rsidR="003869FF" w:rsidRPr="00A27A47" w:rsidRDefault="004A77A8">
      <w:pPr>
        <w:spacing w:after="0" w:line="240" w:lineRule="auto"/>
        <w:jc w:val="center"/>
        <w:rPr>
          <w:rFonts w:asciiTheme="majorHAnsi" w:hAnsiTheme="majorHAnsi" w:cstheme="majorHAnsi"/>
          <w:b/>
          <w:sz w:val="28"/>
          <w:lang w:val="pt-BR"/>
        </w:rPr>
      </w:pPr>
      <w:bookmarkStart w:id="0" w:name="_GoBack"/>
      <w:bookmarkEnd w:id="0"/>
      <w:r>
        <w:rPr>
          <w:rFonts w:asciiTheme="majorHAnsi" w:hAnsiTheme="majorHAnsi" w:cstheme="majorHAnsi"/>
          <w:b/>
          <w:noProof/>
          <w:sz w:val="28"/>
        </w:rPr>
        <w:drawing>
          <wp:anchor distT="0" distB="0" distL="114300" distR="114300" simplePos="0" relativeHeight="251660288" behindDoc="1" locked="0" layoutInCell="1" allowOverlap="1" wp14:anchorId="2230BF53" wp14:editId="4328AABE">
            <wp:simplePos x="0" y="0"/>
            <wp:positionH relativeFrom="margin">
              <wp:align>left</wp:align>
            </wp:positionH>
            <wp:positionV relativeFrom="paragraph">
              <wp:posOffset>-391795</wp:posOffset>
            </wp:positionV>
            <wp:extent cx="981075" cy="1124428"/>
            <wp:effectExtent l="0" t="0" r="0" b="0"/>
            <wp:wrapNone/>
            <wp:docPr id="4" name="Image 4" descr="C:\Users\colin.boyaval\Documents\LOGO PARTAGE RISE COULEUR RV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lin.boyaval\Documents\LOGO PARTAGE RISE COULEUR RV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12" t="11693" r="31877" b="29607"/>
                    <a:stretch/>
                  </pic:blipFill>
                  <pic:spPr bwMode="auto">
                    <a:xfrm>
                      <a:off x="0" y="0"/>
                      <a:ext cx="981075" cy="1124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27A47">
        <w:rPr>
          <w:rFonts w:asciiTheme="majorHAnsi" w:hAnsiTheme="majorHAnsi" w:cstheme="majorHAnsi"/>
          <w:b/>
          <w:sz w:val="28"/>
          <w:lang w:val="pt-BR"/>
        </w:rPr>
        <w:t>Partage RISE</w:t>
      </w:r>
    </w:p>
    <w:p w14:paraId="7B1C291A" w14:textId="2DEC7338" w:rsidR="003869FF" w:rsidRPr="00A27A47" w:rsidRDefault="004A77A8">
      <w:pPr>
        <w:spacing w:after="0" w:line="240" w:lineRule="auto"/>
        <w:jc w:val="center"/>
        <w:rPr>
          <w:rFonts w:asciiTheme="majorHAnsi" w:hAnsiTheme="majorHAnsi" w:cstheme="majorHAnsi"/>
          <w:b/>
          <w:sz w:val="24"/>
          <w:u w:val="single"/>
          <w:lang w:val="pt-BR"/>
        </w:rPr>
      </w:pPr>
      <w:r w:rsidRPr="00A27A47">
        <w:rPr>
          <w:rFonts w:asciiTheme="majorHAnsi" w:hAnsiTheme="majorHAnsi" w:cstheme="majorHAnsi"/>
          <w:sz w:val="24"/>
          <w:lang w:val="pt-BR"/>
        </w:rPr>
        <w:t>Formulário de participação em grupos de intercâmbio em inglês</w:t>
      </w:r>
    </w:p>
    <w:p w14:paraId="7955197D" w14:textId="662C65F9" w:rsidR="003869FF" w:rsidRPr="00A27A47" w:rsidRDefault="003869FF">
      <w:pPr>
        <w:pBdr>
          <w:bottom w:val="single" w:sz="4" w:space="1" w:color="auto"/>
        </w:pBdr>
        <w:spacing w:after="0" w:line="240" w:lineRule="auto"/>
        <w:jc w:val="center"/>
        <w:rPr>
          <w:rFonts w:asciiTheme="majorHAnsi" w:hAnsiTheme="majorHAnsi" w:cstheme="majorHAnsi"/>
          <w:b/>
          <w:sz w:val="24"/>
          <w:u w:val="single"/>
          <w:lang w:val="pt-BR"/>
        </w:rPr>
      </w:pPr>
    </w:p>
    <w:p w14:paraId="5050F632" w14:textId="579F3AA3" w:rsidR="003869FF" w:rsidRPr="00A27A47" w:rsidRDefault="004A77A8">
      <w:pPr>
        <w:pBdr>
          <w:bottom w:val="single" w:sz="4" w:space="1" w:color="auto"/>
        </w:pBdr>
        <w:spacing w:after="0" w:line="240" w:lineRule="auto"/>
        <w:jc w:val="center"/>
        <w:rPr>
          <w:rFonts w:asciiTheme="majorHAnsi" w:hAnsiTheme="majorHAnsi" w:cstheme="majorHAnsi"/>
          <w:b/>
          <w:sz w:val="24"/>
          <w:u w:val="single"/>
          <w:lang w:val="pt-BR"/>
        </w:rPr>
      </w:pPr>
      <w:r w:rsidRPr="00A27A47">
        <w:rPr>
          <w:rFonts w:asciiTheme="majorHAnsi" w:hAnsiTheme="majorHAnsi" w:cstheme="majorHAnsi"/>
          <w:b/>
          <w:sz w:val="24"/>
          <w:u w:val="single"/>
          <w:lang w:val="pt-BR"/>
        </w:rPr>
        <w:t>1º de outubro</w:t>
      </w:r>
      <w:r w:rsidR="00A27A47" w:rsidRPr="00A27A47">
        <w:rPr>
          <w:rFonts w:asciiTheme="majorHAnsi" w:hAnsiTheme="majorHAnsi" w:cstheme="majorHAnsi"/>
          <w:b/>
          <w:sz w:val="24"/>
          <w:u w:val="single"/>
          <w:lang w:val="pt-BR"/>
        </w:rPr>
        <w:t xml:space="preserve"> </w:t>
      </w:r>
    </w:p>
    <w:p w14:paraId="0261D1D8" w14:textId="19B8EB6D" w:rsidR="003869FF" w:rsidRPr="00A27A47" w:rsidRDefault="003869FF">
      <w:pPr>
        <w:spacing w:after="0" w:line="240" w:lineRule="auto"/>
        <w:jc w:val="both"/>
        <w:rPr>
          <w:rFonts w:asciiTheme="majorHAnsi" w:hAnsiTheme="majorHAnsi" w:cstheme="majorHAnsi"/>
          <w:b/>
          <w:sz w:val="24"/>
          <w:u w:val="single"/>
          <w:lang w:val="pt-BR"/>
        </w:rPr>
      </w:pPr>
    </w:p>
    <w:p w14:paraId="7DBC07A2" w14:textId="77777777" w:rsidR="003869FF" w:rsidRPr="00A27A47" w:rsidRDefault="003869FF">
      <w:pPr>
        <w:spacing w:after="0" w:line="240" w:lineRule="auto"/>
        <w:jc w:val="both"/>
        <w:rPr>
          <w:rFonts w:asciiTheme="majorHAnsi" w:hAnsiTheme="majorHAnsi" w:cstheme="majorHAnsi"/>
          <w:sz w:val="24"/>
          <w:lang w:val="pt-BR"/>
        </w:rPr>
      </w:pPr>
    </w:p>
    <w:p w14:paraId="6358E401" w14:textId="77777777" w:rsidR="003869FF" w:rsidRPr="00A27A47" w:rsidRDefault="003869FF">
      <w:pPr>
        <w:spacing w:after="0" w:line="240" w:lineRule="auto"/>
        <w:jc w:val="center"/>
        <w:rPr>
          <w:rFonts w:asciiTheme="majorHAnsi" w:hAnsiTheme="majorHAnsi" w:cstheme="majorHAnsi"/>
          <w:b/>
          <w:sz w:val="24"/>
          <w:u w:val="single"/>
          <w:lang w:val="pt-BR"/>
        </w:rPr>
      </w:pPr>
    </w:p>
    <w:p w14:paraId="642FEB94" w14:textId="77777777" w:rsidR="003869FF" w:rsidRPr="00A27A47" w:rsidRDefault="004A77A8">
      <w:pPr>
        <w:spacing w:after="0" w:line="240" w:lineRule="auto"/>
        <w:rPr>
          <w:rFonts w:asciiTheme="majorHAnsi" w:hAnsiTheme="majorHAnsi" w:cstheme="majorHAnsi"/>
          <w:sz w:val="24"/>
          <w:lang w:val="pt-BR"/>
        </w:rPr>
      </w:pPr>
      <w:r>
        <w:rPr>
          <w:rFonts w:asciiTheme="majorHAnsi" w:hAnsiTheme="majorHAnsi" w:cs="Times New Roman"/>
          <w:noProof/>
          <w:sz w:val="24"/>
        </w:rPr>
        <w:drawing>
          <wp:anchor distT="0" distB="0" distL="114300" distR="114300" simplePos="0" relativeHeight="251670528" behindDoc="1" locked="0" layoutInCell="1" allowOverlap="1" wp14:anchorId="1C862680" wp14:editId="00C86567">
            <wp:simplePos x="0" y="0"/>
            <wp:positionH relativeFrom="column">
              <wp:posOffset>-274955</wp:posOffset>
            </wp:positionH>
            <wp:positionV relativeFrom="paragraph">
              <wp:posOffset>193675</wp:posOffset>
            </wp:positionV>
            <wp:extent cx="2171700" cy="2491740"/>
            <wp:effectExtent l="0" t="0" r="19050" b="22860"/>
            <wp:wrapTight wrapText="bothSides">
              <wp:wrapPolygon edited="0">
                <wp:start x="0" y="0"/>
                <wp:lineTo x="0" y="21633"/>
                <wp:lineTo x="21600" y="21633"/>
                <wp:lineTo x="21600" y="0"/>
                <wp:lineTo x="0" y="0"/>
              </wp:wrapPolygon>
            </wp:wrapTight>
            <wp:docPr id="10" name="Zone de texte 10"/>
            <wp:cNvGraphicFramePr/>
            <a:graphic xmlns:a="http://schemas.openxmlformats.org/drawingml/2006/main">
              <a:graphicData uri="http://schemas.microsoft.com/office/word/2010/wordprocessingShape">
                <wps:wsp>
                  <wps:cNvSpPr txBox="1"/>
                  <wps:spPr>
                    <a:xfrm>
                      <a:off x="0" y="0"/>
                      <a:ext cx="2171700" cy="2491740"/>
                    </a:xfrm>
                    <a:prstGeom prst="rect">
                      <a:avLst/>
                    </a:prstGeom>
                    <a:solidFill>
                      <a:schemeClr val="lt1"/>
                    </a:solidFill>
                    <a:ln w="6350">
                      <a:solidFill>
                        <a:prstClr val="black"/>
                      </a:solidFill>
                    </a:ln>
                  </wps:spPr>
                  <wps:txbx>
                    <w:txbxContent>
                      <w:p w14:paraId="7AC42346" w14:textId="70112E3F" w:rsidR="003869FF" w:rsidRDefault="004A77A8">
                        <w:pPr>
                          <w:jc w:val="center"/>
                          <w:rPr>
                            <w:b/>
                            <w:sz w:val="24"/>
                            <w:u w:val="single"/>
                          </w:rPr>
                        </w:pPr>
                        <w:r>
                          <w:rPr>
                            <w:b/>
                            <w:sz w:val="24"/>
                            <w:u w:val="single"/>
                          </w:rPr>
                          <w:t>Participantes: 8</w:t>
                        </w:r>
                      </w:p>
                      <w:p w14:paraId="518A2772" w14:textId="77777777" w:rsidR="003869FF" w:rsidRDefault="004A77A8">
                        <w:pPr>
                          <w:spacing w:after="0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França : </w:t>
                        </w:r>
                      </w:p>
                      <w:p w14:paraId="3C18135C" w14:textId="77777777" w:rsidR="003869FF" w:rsidRDefault="004A77A8">
                        <w:r>
                          <w:rPr>
                            <w:b/>
                          </w:rPr>
                          <w:t>Partage </w:t>
                        </w:r>
                        <w:r>
                          <w:t>: Colin, Nahuel</w:t>
                        </w:r>
                      </w:p>
                      <w:p w14:paraId="02AB8D30" w14:textId="5A5DB7C9" w:rsidR="003869FF" w:rsidRDefault="004A77A8">
                        <w:pPr>
                          <w:spacing w:after="0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Tailândia</w:t>
                        </w:r>
                      </w:p>
                      <w:p w14:paraId="0A5418F9" w14:textId="43686A24" w:rsidR="003869FF" w:rsidRDefault="004A77A8">
                        <w:r>
                          <w:t xml:space="preserve"> </w:t>
                        </w:r>
                        <w:r>
                          <w:rPr>
                            <w:b/>
                          </w:rPr>
                          <w:t>CPDC:</w:t>
                        </w:r>
                        <w:r>
                          <w:t xml:space="preserve"> Alex, Ngam</w:t>
                        </w:r>
                        <w:r>
                          <w:br/>
                        </w:r>
                        <w:r>
                          <w:rPr>
                            <w:b/>
                          </w:rPr>
                          <w:t xml:space="preserve"> HSF :</w:t>
                        </w:r>
                        <w:r>
                          <w:t xml:space="preserve"> Mick</w:t>
                        </w:r>
                      </w:p>
                      <w:p w14:paraId="574EB437" w14:textId="77777777" w:rsidR="003869FF" w:rsidRDefault="004A77A8">
                        <w:pPr>
                          <w:spacing w:after="0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Nepal: </w:t>
                        </w:r>
                      </w:p>
                      <w:p w14:paraId="016495D0" w14:textId="12711327" w:rsidR="003869FF" w:rsidRDefault="004A77A8">
                        <w:pPr>
                          <w:spacing w:after="0"/>
                        </w:pPr>
                        <w:r>
                          <w:rPr>
                            <w:b/>
                          </w:rPr>
                          <w:t>CWCN</w:t>
                        </w:r>
                        <w:r>
                          <w:t>: Lata</w:t>
                        </w:r>
                      </w:p>
                      <w:p w14:paraId="16F87B90" w14:textId="77777777" w:rsidR="003869FF" w:rsidRDefault="003869FF">
                        <w:pPr>
                          <w:spacing w:after="0"/>
                        </w:pPr>
                      </w:p>
                      <w:p w14:paraId="047975A2" w14:textId="7E09F6CB" w:rsidR="003869FF" w:rsidRDefault="004A77A8">
                        <w:pPr>
                          <w:spacing w:after="0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Líbano: </w:t>
                        </w:r>
                      </w:p>
                      <w:p w14:paraId="42A286D4" w14:textId="0AE58B04" w:rsidR="003869FF" w:rsidRDefault="004A77A8">
                        <w:r>
                          <w:rPr>
                            <w:b/>
                          </w:rPr>
                          <w:t>MSL :</w:t>
                        </w:r>
                        <w:r>
                          <w:t xml:space="preserve"> Roula, Fouad</w:t>
                        </w:r>
                      </w:p>
                    </w:txbxContent>
                  </wps:txbx>
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<a:prstTxWarp prst="textNoShape">
                      <a:avLst/>
                    </a:prstTxWarp>
                    <a:noAutofit/>
                  </wps:bodyPr>
                </wps:wsp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6D7837" w14:textId="3F3369B1" w:rsidR="003869FF" w:rsidRPr="00A27A47" w:rsidRDefault="004A77A8">
      <w:pPr>
        <w:spacing w:after="0" w:line="240" w:lineRule="auto"/>
        <w:rPr>
          <w:rFonts w:asciiTheme="majorHAnsi" w:hAnsiTheme="majorHAnsi" w:cstheme="majorHAnsi"/>
          <w:lang w:val="pt-BR"/>
        </w:rPr>
      </w:pPr>
      <w:r w:rsidRPr="00A27A47">
        <w:rPr>
          <w:rFonts w:asciiTheme="majorHAnsi" w:hAnsiTheme="majorHAnsi" w:cstheme="majorHAnsi"/>
          <w:lang w:val="pt-BR"/>
        </w:rPr>
        <w:t xml:space="preserve">Após a realização de videoconferências dos parceiros da Partage por área geográfica (Ásia, África, América Latina e Oriente Médio) no período de maio a junho de 2020, a Partage propõe retomar os intercâmbios entre os membros em setembro de 2020. </w:t>
      </w:r>
    </w:p>
    <w:p w14:paraId="0BA99B98" w14:textId="77777777" w:rsidR="003869FF" w:rsidRPr="00A27A47" w:rsidRDefault="004A77A8">
      <w:pPr>
        <w:spacing w:after="0" w:line="240" w:lineRule="auto"/>
        <w:rPr>
          <w:rFonts w:asciiTheme="majorHAnsi" w:hAnsiTheme="majorHAnsi" w:cstheme="majorHAnsi"/>
          <w:lang w:val="pt-BR"/>
        </w:rPr>
      </w:pPr>
      <w:r w:rsidRPr="00A27A47">
        <w:rPr>
          <w:rFonts w:asciiTheme="majorHAnsi" w:hAnsiTheme="majorHAnsi" w:cstheme="majorHAnsi"/>
          <w:lang w:val="pt-BR"/>
        </w:rPr>
        <w:t xml:space="preserve">A fim de </w:t>
      </w:r>
      <w:r w:rsidRPr="00A27A47">
        <w:rPr>
          <w:rFonts w:asciiTheme="majorHAnsi" w:hAnsiTheme="majorHAnsi" w:cstheme="majorHAnsi"/>
          <w:lang w:val="pt-BR"/>
        </w:rPr>
        <w:t>equilibrar o tamanho dos grupos de intercâmbio, a Partage propõe que a organização de videoconferências não seja mais organizada com base na geografia, mas no idioma. Assim, serão abertos 2 grupos de língua francesa, 2 grupos de língua inglesa e 1 grupo de</w:t>
      </w:r>
      <w:r w:rsidRPr="00A27A47">
        <w:rPr>
          <w:rFonts w:asciiTheme="majorHAnsi" w:hAnsiTheme="majorHAnsi" w:cstheme="majorHAnsi"/>
          <w:lang w:val="pt-BR"/>
        </w:rPr>
        <w:t xml:space="preserve"> língua espanhola, podendo cada grupo ser integrado por no máximo 7 participantes. </w:t>
      </w:r>
    </w:p>
    <w:p w14:paraId="04C2BFE2" w14:textId="6CC826B5" w:rsidR="003869FF" w:rsidRDefault="004A77A8">
      <w:pPr>
        <w:spacing w:after="0"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Está previsto que a Partage organize sessões de intercâmbio trimestralmente, a composição dos grupos não é fixa e a participação de cada organização permanece voluntária e </w:t>
      </w:r>
      <w:r>
        <w:rPr>
          <w:rFonts w:asciiTheme="majorHAnsi" w:hAnsiTheme="majorHAnsi" w:cstheme="majorHAnsi"/>
        </w:rPr>
        <w:t>opcional.</w:t>
      </w:r>
    </w:p>
    <w:p w14:paraId="3E47F447" w14:textId="77777777" w:rsidR="003869FF" w:rsidRDefault="003869FF">
      <w:pPr>
        <w:spacing w:after="0" w:line="240" w:lineRule="auto"/>
        <w:rPr>
          <w:rFonts w:asciiTheme="majorHAnsi" w:hAnsiTheme="majorHAnsi" w:cstheme="majorHAnsi"/>
        </w:rPr>
      </w:pPr>
    </w:p>
    <w:p w14:paraId="697323F4" w14:textId="77777777" w:rsidR="003869FF" w:rsidRDefault="004A77A8">
      <w:pPr>
        <w:spacing w:after="0"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Os seguintes objetivos dessas reuniões são: </w:t>
      </w:r>
    </w:p>
    <w:p w14:paraId="01373185" w14:textId="77777777" w:rsidR="003869FF" w:rsidRDefault="004A77A8">
      <w:pPr>
        <w:spacing w:after="0"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o Para dar notícias uns dos outros; </w:t>
      </w:r>
    </w:p>
    <w:p w14:paraId="3D7361AE" w14:textId="77777777" w:rsidR="003869FF" w:rsidRDefault="004A77A8">
      <w:pPr>
        <w:spacing w:after="0"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o Para compartilhar sobre a situação da Covid-19 nos países de intervenção; </w:t>
      </w:r>
    </w:p>
    <w:p w14:paraId="0E772A0E" w14:textId="77777777" w:rsidR="003869FF" w:rsidRDefault="004A77A8">
      <w:pPr>
        <w:spacing w:after="0"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o Dar a todos a oportunidade de apresentar as atividades/ações realizadas localmente; </w:t>
      </w:r>
    </w:p>
    <w:p w14:paraId="0C9511DD" w14:textId="77777777" w:rsidR="003869FF" w:rsidRDefault="004A77A8">
      <w:pPr>
        <w:spacing w:after="0"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o Para compartilhar ideias, boas práticas. </w:t>
      </w:r>
    </w:p>
    <w:p w14:paraId="4DDAF64B" w14:textId="77777777" w:rsidR="003869FF" w:rsidRDefault="003869FF">
      <w:pPr>
        <w:spacing w:after="0" w:line="240" w:lineRule="auto"/>
        <w:rPr>
          <w:rFonts w:asciiTheme="majorHAnsi" w:hAnsiTheme="majorHAnsi" w:cstheme="majorHAnsi"/>
        </w:rPr>
      </w:pPr>
    </w:p>
    <w:p w14:paraId="64277F20" w14:textId="70B00E7F" w:rsidR="003869FF" w:rsidRDefault="004A77A8">
      <w:pPr>
        <w:spacing w:after="0"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Para facilitar a transmissão e o compartilhamento de informações, sugerimos que você preencha de antemão os dados abaixo e o</w:t>
      </w:r>
      <w:r>
        <w:rPr>
          <w:rFonts w:asciiTheme="majorHAnsi" w:hAnsiTheme="majorHAnsi" w:cstheme="majorHAnsi"/>
        </w:rPr>
        <w:t>s envie no máximo 1 dia antes da reunião. Eles serão compilados com as planilhas dos outros participantes e alterados conforme anotações feitas durante a reunião.</w:t>
      </w:r>
    </w:p>
    <w:p w14:paraId="5A44CD55" w14:textId="77777777" w:rsidR="003869FF" w:rsidRDefault="003869FF">
      <w:pPr>
        <w:spacing w:after="0" w:line="240" w:lineRule="auto"/>
        <w:rPr>
          <w:rFonts w:asciiTheme="majorHAnsi" w:hAnsiTheme="majorHAnsi" w:cstheme="majorHAnsi"/>
        </w:rPr>
      </w:pPr>
    </w:p>
    <w:p w14:paraId="38C02851" w14:textId="3DD37C54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7555680C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495C4512" w14:textId="77777777" w:rsidR="003869FF" w:rsidRDefault="003869FF">
      <w:pPr>
        <w:spacing w:after="0" w:line="240" w:lineRule="auto"/>
        <w:jc w:val="center"/>
        <w:rPr>
          <w:rFonts w:asciiTheme="majorHAnsi" w:hAnsiTheme="majorHAnsi" w:cstheme="majorHAnsi"/>
          <w:b/>
        </w:rPr>
      </w:pPr>
    </w:p>
    <w:p w14:paraId="705E45DB" w14:textId="377AA999" w:rsidR="003869FF" w:rsidRDefault="004A77A8">
      <w:pPr>
        <w:spacing w:after="0" w:line="240" w:lineRule="auto"/>
        <w:jc w:val="center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Fundação Centro para a Proteção dos Direitos da Criança (CPDC)</w:t>
      </w:r>
    </w:p>
    <w:p w14:paraId="73D292FF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4A7F1C3A" w14:textId="565C2B53" w:rsidR="003869FF" w:rsidRDefault="004A77A8">
      <w:pPr>
        <w:spacing w:after="0" w:line="240" w:lineRule="auto"/>
        <w:jc w:val="both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 xml:space="preserve">Nome da(s) pessoa(s) que </w:t>
      </w:r>
      <w:r>
        <w:rPr>
          <w:rFonts w:asciiTheme="majorHAnsi" w:hAnsiTheme="majorHAnsi" w:cstheme="majorHAnsi"/>
          <w:b/>
        </w:rPr>
        <w:t>representa(m) a organização:</w:t>
      </w:r>
    </w:p>
    <w:p w14:paraId="11F0445F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497BBC6A" w14:textId="092E16AB" w:rsidR="003869FF" w:rsidRDefault="004A77A8">
      <w:pPr>
        <w:pStyle w:val="Paragrafoelenco"/>
        <w:numPr>
          <w:ilvl w:val="0"/>
          <w:numId w:val="11"/>
        </w:numPr>
        <w:spacing w:after="0" w:line="240" w:lineRule="auto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Sra. Thongpairum Puytrakool (Ngam)</w:t>
      </w:r>
      <w:r>
        <w:rPr>
          <w:rFonts w:asciiTheme="majorHAnsi" w:hAnsiTheme="majorHAnsi" w:cstheme="majorHAnsi"/>
        </w:rPr>
        <w:tab/>
      </w:r>
      <w:r>
        <w:rPr>
          <w:rFonts w:asciiTheme="majorHAnsi" w:hAnsiTheme="majorHAnsi" w:cstheme="majorHAnsi"/>
        </w:rPr>
        <w:tab/>
        <w:t>Chefe da Unidade de Desenvolvimento Infantil e Familiar</w:t>
      </w:r>
    </w:p>
    <w:p w14:paraId="27568B59" w14:textId="48286275" w:rsidR="003869FF" w:rsidRDefault="004A77A8">
      <w:pPr>
        <w:pStyle w:val="Paragrafoelenco"/>
        <w:numPr>
          <w:ilvl w:val="0"/>
          <w:numId w:val="11"/>
        </w:numPr>
        <w:spacing w:after="0" w:line="240" w:lineRule="auto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Sra. Thanat Chaiwes (Alex) </w:t>
      </w:r>
      <w:r>
        <w:rPr>
          <w:rFonts w:asciiTheme="majorHAnsi" w:hAnsiTheme="majorHAnsi" w:cstheme="majorHAnsi"/>
        </w:rPr>
        <w:tab/>
      </w:r>
      <w:r>
        <w:rPr>
          <w:rFonts w:asciiTheme="majorHAnsi" w:hAnsiTheme="majorHAnsi" w:cstheme="majorHAnsi"/>
        </w:rPr>
        <w:tab/>
      </w:r>
      <w:r>
        <w:rPr>
          <w:rFonts w:asciiTheme="majorHAnsi" w:hAnsiTheme="majorHAnsi" w:cstheme="majorHAnsi"/>
        </w:rPr>
        <w:tab/>
        <w:t>Equipe de Assuntos Internacionais</w:t>
      </w:r>
    </w:p>
    <w:p w14:paraId="2AF8086C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096ABC88" w14:textId="71AFF1B7" w:rsidR="003869FF" w:rsidRDefault="004A77A8">
      <w:pPr>
        <w:spacing w:after="0" w:line="240" w:lineRule="auto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  <w:b/>
        </w:rPr>
        <w:t>País:</w:t>
      </w:r>
      <w:r>
        <w:rPr>
          <w:rFonts w:asciiTheme="majorHAnsi" w:hAnsiTheme="majorHAnsi" w:cstheme="majorHAnsi"/>
          <w:b/>
        </w:rPr>
        <w:tab/>
      </w:r>
      <w:r>
        <w:rPr>
          <w:rFonts w:asciiTheme="majorHAnsi" w:hAnsiTheme="majorHAnsi" w:cstheme="majorHAnsi"/>
        </w:rPr>
        <w:t>Tailândia</w:t>
      </w:r>
      <w:r w:rsidR="00A27A47">
        <w:rPr>
          <w:rFonts w:asciiTheme="majorHAnsi" w:hAnsiTheme="majorHAnsi" w:cstheme="majorHAnsi"/>
        </w:rPr>
        <w:t xml:space="preserve"> </w:t>
      </w:r>
    </w:p>
    <w:p w14:paraId="115C9034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5ECF709E" w14:textId="729F9211" w:rsidR="003869FF" w:rsidRDefault="004A77A8">
      <w:pPr>
        <w:spacing w:after="0" w:line="240" w:lineRule="auto"/>
        <w:jc w:val="both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Número de casos de COVID-19 no país:</w:t>
      </w:r>
      <w:r>
        <w:rPr>
          <w:rFonts w:asciiTheme="majorHAnsi" w:hAnsiTheme="majorHAnsi" w:cstheme="majorHAnsi"/>
          <w:b/>
        </w:rPr>
        <w:tab/>
      </w:r>
      <w:r>
        <w:rPr>
          <w:rFonts w:asciiTheme="majorHAnsi" w:hAnsiTheme="majorHAnsi" w:cstheme="majorHAnsi"/>
          <w:b/>
        </w:rPr>
        <w:tab/>
      </w:r>
      <w:r>
        <w:rPr>
          <w:rFonts w:asciiTheme="majorHAnsi" w:hAnsiTheme="majorHAnsi" w:cstheme="majorHAnsi"/>
        </w:rPr>
        <w:t xml:space="preserve">3.545 casos </w:t>
      </w:r>
      <w:r>
        <w:rPr>
          <w:rFonts w:asciiTheme="majorHAnsi" w:hAnsiTheme="majorHAnsi" w:cstheme="majorHAnsi"/>
        </w:rPr>
        <w:t>(28 de setembro</w:t>
      </w:r>
      <w:r w:rsidR="00A27A47">
        <w:rPr>
          <w:rFonts w:asciiTheme="majorHAnsi" w:hAnsiTheme="majorHAnsi" w:cstheme="majorHAnsi"/>
          <w:vertAlign w:val="superscript"/>
        </w:rPr>
        <w:t xml:space="preserve"> </w:t>
      </w:r>
      <w:r>
        <w:rPr>
          <w:rFonts w:asciiTheme="majorHAnsi" w:hAnsiTheme="majorHAnsi" w:cstheme="majorHAnsi"/>
        </w:rPr>
        <w:t>de 2020)</w:t>
      </w:r>
      <w:r w:rsidR="00A27A47">
        <w:rPr>
          <w:rFonts w:asciiTheme="majorHAnsi" w:hAnsiTheme="majorHAnsi" w:cstheme="majorHAnsi"/>
          <w:b/>
        </w:rPr>
        <w:t xml:space="preserve"> </w:t>
      </w:r>
    </w:p>
    <w:p w14:paraId="241FF4D5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42CE5A65" w14:textId="1600F5A3" w:rsidR="003869FF" w:rsidRDefault="004A77A8">
      <w:pPr>
        <w:spacing w:after="0" w:line="240" w:lineRule="auto"/>
        <w:jc w:val="both"/>
        <w:rPr>
          <w:rFonts w:asciiTheme="majorHAnsi" w:hAnsiTheme="majorHAnsi"/>
          <w:i/>
          <w:iCs/>
          <w:color w:val="2F5496" w:themeColor="accent5" w:themeShade="BF"/>
        </w:rPr>
      </w:pPr>
      <w:r>
        <w:rPr>
          <w:rFonts w:asciiTheme="majorHAnsi" w:hAnsiTheme="majorHAnsi" w:cstheme="majorHAnsi"/>
          <w:b/>
        </w:rPr>
        <w:t xml:space="preserve">Contexto do país: </w:t>
      </w:r>
      <w:r>
        <w:rPr>
          <w:rFonts w:asciiTheme="majorHAnsi" w:hAnsiTheme="majorHAnsi" w:cstheme="majorHAnsi"/>
          <w:i/>
          <w:iCs/>
          <w:color w:val="2F5496" w:themeColor="accent5" w:themeShade="BF"/>
        </w:rPr>
        <w:t>(máximo de 200 palavras)</w:t>
      </w:r>
    </w:p>
    <w:p w14:paraId="4F55FDE1" w14:textId="77777777" w:rsidR="003869FF" w:rsidRDefault="003869FF">
      <w:pPr>
        <w:spacing w:after="0" w:line="240" w:lineRule="auto"/>
        <w:jc w:val="both"/>
        <w:rPr>
          <w:rFonts w:asciiTheme="majorHAnsi" w:hAnsiTheme="majorHAnsi"/>
          <w:i/>
          <w:iCs/>
          <w:color w:val="2F5496" w:themeColor="accent5" w:themeShade="BF"/>
        </w:rPr>
      </w:pPr>
    </w:p>
    <w:p w14:paraId="30F98B83" w14:textId="3B81CC94" w:rsidR="003869FF" w:rsidRDefault="004A77A8">
      <w:pPr>
        <w:spacing w:after="0" w:line="240" w:lineRule="auto"/>
        <w:jc w:val="both"/>
        <w:rPr>
          <w:rFonts w:asciiTheme="majorHAnsi" w:hAnsiTheme="majorHAnsi"/>
          <w:i/>
          <w:iCs/>
          <w:color w:val="2F5496" w:themeColor="accent5" w:themeShade="BF"/>
          <w:cs/>
        </w:rPr>
      </w:pPr>
      <w:r>
        <w:rPr>
          <w:rFonts w:asciiTheme="majorHAnsi" w:hAnsiTheme="majorHAnsi"/>
        </w:rPr>
        <w:lastRenderedPageBreak/>
        <w:t>Pode-se afirmar que a situação da pandemia de COVID-19 na Tailândia entre março e junho foi um período difícil. O país está fechado e há um Decreto de Emergência. O governo impôs restrições às viagens interprovinciais. Todas as escolas estão fechadas e mui</w:t>
      </w:r>
      <w:r>
        <w:rPr>
          <w:rFonts w:asciiTheme="majorHAnsi" w:hAnsiTheme="majorHAnsi"/>
        </w:rPr>
        <w:t>tas organizações pedem a seus funcionários que trabalhem de casa.</w:t>
      </w:r>
      <w:r>
        <w:rPr>
          <w:rFonts w:asciiTheme="majorHAnsi" w:hAnsiTheme="majorHAnsi"/>
        </w:rPr>
        <w:br/>
        <w:t xml:space="preserve"> No entanto, em junho, os relatórios de novos casos começam a se estabilizar e não há nenhum caso de transmissão comunitária. O país começou a abrir restaurantes e outros negócios. Muitas es</w:t>
      </w:r>
      <w:r>
        <w:rPr>
          <w:rFonts w:asciiTheme="majorHAnsi" w:hAnsiTheme="majorHAnsi"/>
        </w:rPr>
        <w:t>colas estão oferecendo aprendizagem on-line aos seus alunos. Embora no início existissem problemas com as ferramentas de aprendizagem e sinal de internet, o aprendizado ainda pôde ser continuado. Em 1</w:t>
      </w:r>
      <w:r>
        <w:rPr>
          <w:rFonts w:asciiTheme="majorHAnsi" w:hAnsiTheme="majorHAnsi" w:cstheme="majorHAnsi"/>
          <w:vertAlign w:val="superscript"/>
        </w:rPr>
        <w:t>º</w:t>
      </w:r>
      <w:r>
        <w:rPr>
          <w:rFonts w:asciiTheme="majorHAnsi" w:hAnsiTheme="majorHAnsi" w:cstheme="majorHAnsi"/>
        </w:rPr>
        <w:t xml:space="preserve"> de julho todas as escolas foram abertas, mas precisara</w:t>
      </w:r>
      <w:r>
        <w:rPr>
          <w:rFonts w:asciiTheme="majorHAnsi" w:hAnsiTheme="majorHAnsi" w:cstheme="majorHAnsi"/>
        </w:rPr>
        <w:t>m seguir as exigências do governo, como verificação de temperatura, distanciamento social nas salas de aula e divisão das classes em dois grupos para evitar superlotação na sala de aula. Depois de 13 de agosto</w:t>
      </w:r>
      <w:r>
        <w:rPr>
          <w:rFonts w:asciiTheme="majorHAnsi" w:hAnsiTheme="majorHAnsi" w:cstheme="majorHAnsi"/>
          <w:vertAlign w:val="superscript"/>
        </w:rPr>
        <w:t xml:space="preserve"> </w:t>
      </w:r>
      <w:r>
        <w:rPr>
          <w:rFonts w:asciiTheme="majorHAnsi" w:hAnsiTheme="majorHAnsi" w:cstheme="majorHAnsi"/>
        </w:rPr>
        <w:t>, todas as escolas abriram normalmente. Não fo</w:t>
      </w:r>
      <w:r>
        <w:rPr>
          <w:rFonts w:asciiTheme="majorHAnsi" w:hAnsiTheme="majorHAnsi" w:cstheme="majorHAnsi"/>
        </w:rPr>
        <w:t>i necessário dividir os alunos em dois grupos e pedir que se revezassem na volta às escolas. Atualmente, o Decreto de Emergência ainda está vigente. Embora haja um novo caso encontrado dentro do país após 101 dias livres do caso local, a situação na Tailân</w:t>
      </w:r>
      <w:r>
        <w:rPr>
          <w:rFonts w:asciiTheme="majorHAnsi" w:hAnsiTheme="majorHAnsi" w:cstheme="majorHAnsi"/>
        </w:rPr>
        <w:t>dia ainda é controlável.</w:t>
      </w:r>
      <w:r>
        <w:rPr>
          <w:rFonts w:asciiTheme="majorHAnsi" w:hAnsiTheme="majorHAnsi" w:cstheme="majorHAnsi"/>
        </w:rPr>
        <w:br/>
        <w:t xml:space="preserve"> A maioria das pessoas ainda praticam o distanciamento social e usa máscara em público. </w:t>
      </w:r>
    </w:p>
    <w:p w14:paraId="0AD97CDF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1AD0EB05" w14:textId="5BEBC08B" w:rsidR="003869FF" w:rsidRDefault="004A77A8">
      <w:pPr>
        <w:spacing w:after="0" w:line="240" w:lineRule="auto"/>
        <w:jc w:val="both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 xml:space="preserve">Atividades implementadas e planejadas pela organização: </w:t>
      </w:r>
      <w:r>
        <w:rPr>
          <w:rFonts w:asciiTheme="majorHAnsi" w:hAnsiTheme="majorHAnsi" w:cstheme="majorHAnsi"/>
          <w:i/>
          <w:iCs/>
          <w:color w:val="2F5496" w:themeColor="accent5" w:themeShade="BF"/>
        </w:rPr>
        <w:t>(máximo de 200 palavras)</w:t>
      </w:r>
      <w:r>
        <w:t xml:space="preserve"> </w:t>
      </w:r>
    </w:p>
    <w:p w14:paraId="23B2678A" w14:textId="77777777" w:rsidR="003869FF" w:rsidRDefault="003869FF">
      <w:pPr>
        <w:spacing w:after="0" w:line="240" w:lineRule="auto"/>
        <w:jc w:val="both"/>
        <w:rPr>
          <w:rFonts w:asciiTheme="majorHAnsi" w:hAnsiTheme="majorHAnsi"/>
        </w:rPr>
      </w:pPr>
    </w:p>
    <w:p w14:paraId="61B7C32E" w14:textId="2624DCAA" w:rsidR="003869FF" w:rsidRDefault="004A77A8">
      <w:pPr>
        <w:spacing w:after="0" w:line="240" w:lineRule="auto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Um período de abril a junho é o período em que o CPDC revi</w:t>
      </w:r>
      <w:r>
        <w:rPr>
          <w:rFonts w:asciiTheme="majorHAnsi" w:hAnsiTheme="majorHAnsi"/>
        </w:rPr>
        <w:t>sou a operação e as atividades que foram implementadas para apoiar o público alvo durante este período são:</w:t>
      </w:r>
    </w:p>
    <w:p w14:paraId="6B669D4E" w14:textId="209028D0" w:rsidR="003869FF" w:rsidRDefault="004A77A8">
      <w:pPr>
        <w:pStyle w:val="Paragrafoelenco"/>
        <w:numPr>
          <w:ilvl w:val="0"/>
          <w:numId w:val="12"/>
        </w:numPr>
        <w:spacing w:after="0" w:line="240" w:lineRule="auto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Realizar uma pesquisa sobre </w:t>
      </w:r>
      <w:r>
        <w:rPr>
          <w:rFonts w:asciiTheme="majorHAnsi" w:hAnsiTheme="majorHAnsi" w:cstheme="majorHAnsi"/>
          <w:i/>
          <w:iCs/>
        </w:rPr>
        <w:t>‘a Situação dos Estudantes durante o COVID-</w:t>
      </w:r>
      <w:r>
        <w:rPr>
          <w:rFonts w:asciiTheme="majorHAnsi" w:hAnsiTheme="majorHAnsi" w:cstheme="majorHAnsi"/>
        </w:rPr>
        <w:t>19’ nas Escolas de Proteção à Criança;</w:t>
      </w:r>
    </w:p>
    <w:p w14:paraId="4C91A30E" w14:textId="5F5BCB0B" w:rsidR="003869FF" w:rsidRDefault="004A77A8">
      <w:pPr>
        <w:pStyle w:val="Paragrafoelenco"/>
        <w:spacing w:after="0" w:line="240" w:lineRule="auto"/>
        <w:ind w:left="765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Uma pesquisa on-line foi enviada a 81 Escolas de Proteção à Criança para analisar 10.937 estudantes. A pesquisa mostra as condições dos alunos e de seus familiares. Já que o país está fechado e a maioria das pessoas trabalha em casa. A CPDC queria saber se</w:t>
      </w:r>
      <w:r>
        <w:rPr>
          <w:rFonts w:asciiTheme="majorHAnsi" w:hAnsiTheme="majorHAnsi" w:cstheme="majorHAnsi"/>
        </w:rPr>
        <w:t xml:space="preserve"> ocorreu alguma violência infantil durante esse período. </w:t>
      </w:r>
    </w:p>
    <w:p w14:paraId="4D1B04B3" w14:textId="7BC50F98" w:rsidR="003869FF" w:rsidRDefault="004A77A8">
      <w:pPr>
        <w:pStyle w:val="Paragrafoelenco"/>
        <w:numPr>
          <w:ilvl w:val="0"/>
          <w:numId w:val="12"/>
        </w:numPr>
        <w:spacing w:after="0" w:line="240" w:lineRule="auto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Coordenar com as escolas para apoiar os alunos que precisam de assistência;</w:t>
      </w:r>
      <w:r>
        <w:rPr>
          <w:rFonts w:asciiTheme="majorHAnsi" w:hAnsiTheme="majorHAnsi" w:cstheme="majorHAnsi"/>
        </w:rPr>
        <w:br/>
      </w:r>
    </w:p>
    <w:p w14:paraId="268E5903" w14:textId="5D008E3E" w:rsidR="003869FF" w:rsidRDefault="004A77A8">
      <w:pPr>
        <w:pStyle w:val="Paragrafoelenco"/>
        <w:spacing w:after="0" w:line="240" w:lineRule="auto"/>
        <w:ind w:left="765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Como o resultado da pesquisa mostrou que havia 2 casos de violência infantil, a CPDC atuou junto à escola para proteger o</w:t>
      </w:r>
      <w:r>
        <w:rPr>
          <w:rFonts w:asciiTheme="majorHAnsi" w:hAnsiTheme="majorHAnsi" w:cstheme="majorHAnsi"/>
        </w:rPr>
        <w:t xml:space="preserve">s alunos. A CPDC também trabalhou com as agências locais para ajudar nos casos. </w:t>
      </w:r>
    </w:p>
    <w:p w14:paraId="51F436AD" w14:textId="0B148819" w:rsidR="003869FF" w:rsidRDefault="004A77A8">
      <w:pPr>
        <w:pStyle w:val="Paragrafoelenco"/>
        <w:numPr>
          <w:ilvl w:val="0"/>
          <w:numId w:val="12"/>
        </w:numPr>
        <w:spacing w:after="0" w:line="240" w:lineRule="auto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Proteger as crianças, vítimas de casos de violência e de visita; </w:t>
      </w:r>
    </w:p>
    <w:p w14:paraId="07A82020" w14:textId="310E1477" w:rsidR="003869FF" w:rsidRDefault="004A77A8">
      <w:pPr>
        <w:pStyle w:val="Paragrafoelenco"/>
        <w:spacing w:after="0" w:line="240" w:lineRule="auto"/>
        <w:ind w:left="765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Existem muitos casos que são relatados através do site da CPDC e da fanpage da CPDC no Facebook. Para o caso </w:t>
      </w:r>
      <w:r>
        <w:rPr>
          <w:rFonts w:asciiTheme="majorHAnsi" w:hAnsiTheme="majorHAnsi" w:cstheme="majorHAnsi"/>
        </w:rPr>
        <w:t>de Bangkok, a CPDC está protegendo as vítimas infantis. A CPDC acompanhou o caso para fazer uma apuração dos fatos e uma avaliação das crianças e suas famílias. O caso foi transferido para iniciar a operação de proteção à criança. Para o caso da área regio</w:t>
      </w:r>
      <w:r>
        <w:rPr>
          <w:rFonts w:asciiTheme="majorHAnsi" w:hAnsiTheme="majorHAnsi" w:cstheme="majorHAnsi"/>
        </w:rPr>
        <w:t xml:space="preserve">nal, a CPDC providenciou com agências locais, um abrigo para a família e as crianças para protegê-los. </w:t>
      </w:r>
    </w:p>
    <w:p w14:paraId="43C397B8" w14:textId="3E91C0A3" w:rsidR="003869FF" w:rsidRDefault="004A77A8">
      <w:pPr>
        <w:pStyle w:val="Paragrafoelenco"/>
        <w:numPr>
          <w:ilvl w:val="0"/>
          <w:numId w:val="12"/>
        </w:numPr>
        <w:spacing w:after="0" w:line="240" w:lineRule="auto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Empacotar uma bolsa de suprimentos de ajuda;</w:t>
      </w:r>
    </w:p>
    <w:p w14:paraId="795DC898" w14:textId="6A80E213" w:rsidR="003869FF" w:rsidRDefault="004A77A8">
      <w:pPr>
        <w:pStyle w:val="Paragrafoelenco"/>
        <w:spacing w:after="0" w:line="240" w:lineRule="auto"/>
        <w:ind w:left="765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A CPDC solicitou aos setores público e privado que doassem seus produtos, como arroz jasmim e produtos para</w:t>
      </w:r>
      <w:r>
        <w:rPr>
          <w:rFonts w:asciiTheme="majorHAnsi" w:hAnsiTheme="majorHAnsi" w:cstheme="majorHAnsi"/>
        </w:rPr>
        <w:t xml:space="preserve"> a casa. A CPDC empacotou as bolsas de suprimentos de ajuda e os distribuiu às crianças e suas famílias nas Comunidades de Proteção à Criança e às pessoas que solicitaram assistência. </w:t>
      </w:r>
    </w:p>
    <w:p w14:paraId="6E928867" w14:textId="7CD099F2" w:rsidR="003869FF" w:rsidRDefault="004A77A8">
      <w:pPr>
        <w:pStyle w:val="Paragrafoelenco"/>
        <w:numPr>
          <w:ilvl w:val="0"/>
          <w:numId w:val="12"/>
        </w:numPr>
        <w:spacing w:after="0" w:line="240" w:lineRule="auto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Criar bolsas com atividades para desenvolvimento infantil;</w:t>
      </w:r>
    </w:p>
    <w:p w14:paraId="7208DA06" w14:textId="58A0FA56" w:rsidR="003869FF" w:rsidRDefault="004A77A8">
      <w:pPr>
        <w:pStyle w:val="Paragrafoelenco"/>
        <w:spacing w:after="0" w:line="240" w:lineRule="auto"/>
        <w:ind w:left="765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O CPDC traba</w:t>
      </w:r>
      <w:r>
        <w:rPr>
          <w:rFonts w:asciiTheme="majorHAnsi" w:hAnsiTheme="majorHAnsi" w:cstheme="majorHAnsi"/>
        </w:rPr>
        <w:t xml:space="preserve">lha com voluntários para fazer uma sacola de atividades infantis e dar às crianças no hospital e nas comunidades de proteção à criança; </w:t>
      </w:r>
    </w:p>
    <w:p w14:paraId="61EDD9FD" w14:textId="4865ED7C" w:rsidR="003869FF" w:rsidRDefault="004A77A8">
      <w:pPr>
        <w:pStyle w:val="Paragrafoelenco"/>
        <w:numPr>
          <w:ilvl w:val="0"/>
          <w:numId w:val="12"/>
        </w:numPr>
        <w:spacing w:after="0" w:line="240" w:lineRule="auto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Abrir um armário de compartilhamento;</w:t>
      </w:r>
    </w:p>
    <w:p w14:paraId="0986914E" w14:textId="58E2CA37" w:rsidR="003869FF" w:rsidRDefault="004A77A8">
      <w:pPr>
        <w:pStyle w:val="Paragrafoelenco"/>
        <w:spacing w:after="0" w:line="240" w:lineRule="auto"/>
        <w:ind w:left="765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O armário de compartilhamento foi colocado em frente à sede da CPDC para as pesso</w:t>
      </w:r>
      <w:r>
        <w:rPr>
          <w:rFonts w:asciiTheme="majorHAnsi" w:hAnsiTheme="majorHAnsi" w:cstheme="majorHAnsi"/>
        </w:rPr>
        <w:t xml:space="preserve">as da vizinhança que precisam de assistência. </w:t>
      </w:r>
    </w:p>
    <w:p w14:paraId="5C9B2EF9" w14:textId="01BD271D" w:rsidR="003869FF" w:rsidRDefault="004A77A8">
      <w:pPr>
        <w:pStyle w:val="Paragrafoelenco"/>
        <w:numPr>
          <w:ilvl w:val="0"/>
          <w:numId w:val="12"/>
        </w:numPr>
        <w:spacing w:after="0" w:line="240" w:lineRule="auto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Produzir um Gráfico de Informação e um Gráfico de Movimento;</w:t>
      </w:r>
    </w:p>
    <w:p w14:paraId="12EDEFEF" w14:textId="77D2BA47" w:rsidR="003869FF" w:rsidRDefault="004A77A8">
      <w:pPr>
        <w:pStyle w:val="Paragrafoelenco"/>
        <w:spacing w:after="0" w:line="240" w:lineRule="auto"/>
        <w:ind w:left="765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lastRenderedPageBreak/>
        <w:t>O Gráfico de Informação e Gráfico de Movimento; que fornecem informações sobre a proteção da criança durante a pandemia de COVID-19 são divulgados a</w:t>
      </w:r>
      <w:r>
        <w:rPr>
          <w:rFonts w:asciiTheme="majorHAnsi" w:hAnsiTheme="majorHAnsi" w:cstheme="majorHAnsi"/>
        </w:rPr>
        <w:t xml:space="preserve">través do site do CPDC e da fanpage do CPDC no Facebook. Uma cópia impressa também foi enviada às comunidades de proteção à criança. </w:t>
      </w:r>
    </w:p>
    <w:p w14:paraId="0F74751A" w14:textId="41E35AC9" w:rsidR="003869FF" w:rsidRDefault="004A77A8">
      <w:pPr>
        <w:pStyle w:val="Paragrafoelenco"/>
        <w:numPr>
          <w:ilvl w:val="0"/>
          <w:numId w:val="12"/>
        </w:numPr>
        <w:spacing w:after="0" w:line="240" w:lineRule="auto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Conduzir Capacitação para assistentes sociais;</w:t>
      </w:r>
    </w:p>
    <w:p w14:paraId="3BC5E318" w14:textId="0C675F3F" w:rsidR="003869FF" w:rsidRDefault="004A77A8">
      <w:pPr>
        <w:pStyle w:val="Paragrafoelenco"/>
        <w:spacing w:after="0" w:line="240" w:lineRule="auto"/>
        <w:ind w:left="765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O CPDC trabalha com a Universidade Thammasat</w:t>
      </w:r>
      <w:r>
        <w:rPr>
          <w:rFonts w:asciiTheme="majorHAnsi" w:hAnsiTheme="majorHAnsi" w:cstheme="majorHAnsi"/>
        </w:rPr>
        <w:br/>
        <w:t xml:space="preserve"> e parceiros para conduzir </w:t>
      </w:r>
      <w:r>
        <w:rPr>
          <w:rFonts w:asciiTheme="majorHAnsi" w:hAnsiTheme="majorHAnsi" w:cstheme="majorHAnsi"/>
          <w:i/>
          <w:iCs/>
        </w:rPr>
        <w:t xml:space="preserve">‘a </w:t>
      </w:r>
      <w:r>
        <w:rPr>
          <w:rFonts w:asciiTheme="majorHAnsi" w:hAnsiTheme="majorHAnsi" w:cstheme="majorHAnsi"/>
          <w:i/>
          <w:iCs/>
        </w:rPr>
        <w:t>Capacitação de Fortalecimento da Comunidade para Apoiar Pacientes e Pessoas Afetadas pela Pandemia do COVID-19’</w:t>
      </w:r>
      <w:r>
        <w:rPr>
          <w:rFonts w:asciiTheme="majorHAnsi" w:hAnsiTheme="majorHAnsi" w:cstheme="majorHAnsi"/>
        </w:rPr>
        <w:t xml:space="preserve"> para assistentes sociais. O CPDC dá palestras sobre as operações de proteção à criança. </w:t>
      </w:r>
    </w:p>
    <w:p w14:paraId="549441D0" w14:textId="56AD9F0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33636503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07270474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7EE290E2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54DD1786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40DC5F66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61449F39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209D3F60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4B950E68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30567F07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6D54110B" w14:textId="40EB7623" w:rsidR="003869FF" w:rsidRDefault="004A77A8">
      <w:pPr>
        <w:spacing w:after="0" w:line="240" w:lineRule="auto"/>
        <w:jc w:val="both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2/3 fotos das atividades realizadas:</w:t>
      </w:r>
    </w:p>
    <w:p w14:paraId="1474EDF2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64D924D8" w14:textId="09F9690E" w:rsidR="003869FF" w:rsidRDefault="004A77A8">
      <w:pPr>
        <w:spacing w:after="0" w:line="240" w:lineRule="auto"/>
        <w:jc w:val="both"/>
        <w:rPr>
          <w:rFonts w:asciiTheme="majorHAnsi" w:hAnsiTheme="majorHAnsi" w:cstheme="majorHAnsi"/>
          <w:b/>
        </w:rPr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5D080152" wp14:editId="69415226">
            <wp:simplePos x="0" y="0"/>
            <wp:positionH relativeFrom="column">
              <wp:posOffset>481330</wp:posOffset>
            </wp:positionH>
            <wp:positionV relativeFrom="paragraph">
              <wp:posOffset>2540</wp:posOffset>
            </wp:positionV>
            <wp:extent cx="4953000" cy="4953000"/>
            <wp:effectExtent l="0" t="0" r="0" b="0"/>
            <wp:wrapNone/>
            <wp:docPr id="14" name="Image 5" descr="96145795_1132381030456556_6661902972298985472_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96145795_1132381030456556_6661902972298985472_n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953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339559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0D6B6710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6C5D893B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5B669405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094959C3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5E054E6D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0C9E9B78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3BBF0557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2A3C9DAB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72797266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3826A59F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3DAC9443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20C09D77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1865B0E1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103F68A1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6B9DA780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1A2FD07D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375E0FF8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2E977EA7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04E2932E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0334FC45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22BE8B28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02ED37D5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618396A2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10369DCC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1A505688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17145475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01F8D710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425F2A06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38D4B498" w14:textId="76190616" w:rsidR="003869FF" w:rsidRDefault="004A77A8">
      <w:pPr>
        <w:pStyle w:val="Paragrafoelenco"/>
        <w:spacing w:after="0" w:line="240" w:lineRule="auto"/>
        <w:ind w:left="765"/>
        <w:jc w:val="center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Visita a um caso de criança, vítima de violência</w:t>
      </w:r>
    </w:p>
    <w:p w14:paraId="57DBFE46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2DB6A8F5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390B71BA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0716D09A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114D6A3B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61F11B72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79B6BF39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72D2F39A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21D84B91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01D7AD75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4A260252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2F33F310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77006D2C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6669324F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6CBBEE51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370AC592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334A3806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537C9D90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6EB57FFE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65F55B36" w14:textId="7C84FB7B" w:rsidR="003869FF" w:rsidRDefault="004A77A8">
      <w:pPr>
        <w:spacing w:after="0" w:line="240" w:lineRule="auto"/>
        <w:jc w:val="both"/>
        <w:rPr>
          <w:rFonts w:asciiTheme="majorHAnsi" w:hAnsiTheme="majorHAnsi" w:cstheme="majorHAnsi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2289E049" wp14:editId="2E1F296D">
            <wp:simplePos x="0" y="0"/>
            <wp:positionH relativeFrom="column">
              <wp:posOffset>1062355</wp:posOffset>
            </wp:positionH>
            <wp:positionV relativeFrom="paragraph">
              <wp:posOffset>69850</wp:posOffset>
            </wp:positionV>
            <wp:extent cx="3962400" cy="2973070"/>
            <wp:effectExtent l="0" t="0" r="0" b="0"/>
            <wp:wrapNone/>
            <wp:docPr id="13" name="Image 2" descr="93281748_1118649525163040_6290433729064075264_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93281748_1118649525163040_6290433729064075264_n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2973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1" locked="0" layoutInCell="1" allowOverlap="1" wp14:anchorId="612732C2" wp14:editId="2805005D">
            <wp:simplePos x="0" y="0"/>
            <wp:positionH relativeFrom="column">
              <wp:posOffset>82550</wp:posOffset>
            </wp:positionH>
            <wp:positionV relativeFrom="paragraph">
              <wp:posOffset>3280410</wp:posOffset>
            </wp:positionV>
            <wp:extent cx="2875280" cy="3295650"/>
            <wp:effectExtent l="0" t="0" r="1270" b="0"/>
            <wp:wrapNone/>
            <wp:docPr id="12" name="Image 3" descr="93439417_1118649481829711_9050845605756141568_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93439417_1118649481829711_9050845605756141568_n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9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280" cy="3295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1" locked="0" layoutInCell="1" allowOverlap="1" wp14:anchorId="22160C99" wp14:editId="6C9354AD">
            <wp:simplePos x="0" y="0"/>
            <wp:positionH relativeFrom="column">
              <wp:posOffset>3376930</wp:posOffset>
            </wp:positionH>
            <wp:positionV relativeFrom="paragraph">
              <wp:posOffset>3280410</wp:posOffset>
            </wp:positionV>
            <wp:extent cx="2371725" cy="3295650"/>
            <wp:effectExtent l="0" t="0" r="9525" b="0"/>
            <wp:wrapNone/>
            <wp:docPr id="11" name="Image 4" descr="93705396_1121553814872611_7901656754147033088_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93705396_1121553814872611_7901656754147033088_o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9" t="3993" r="3369" b="96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3295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B90554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250E31C6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2C982CA2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64F50310" w14:textId="4C740EB6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26837034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1B744A3E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5750EDB6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56BC3A01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0E0A1EDE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354EF0B5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3075233A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18D528E3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448E4483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20E72A56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5F4FE96D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17BADFAE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7723CAF5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332E1469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09D1E048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5395DF5B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37A67E8D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0951AE8F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1DA2546E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778DC771" w14:textId="34C93B6E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15291ED5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659090B1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760BC2CB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3C3CE68C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07656BFE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58ECAEA9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0AF57CDD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06C3DA3E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22983998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44E6311E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4DF72EE1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1ECE458E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6A4F2DED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7AA1D907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2ED98C98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2FCAE102" w14:textId="77777777" w:rsidR="003869FF" w:rsidRDefault="004A77A8">
      <w:pPr>
        <w:spacing w:after="0" w:line="240" w:lineRule="auto"/>
        <w:jc w:val="center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Criar bolsas com atividades para desenvolvimento infantil;</w:t>
      </w:r>
    </w:p>
    <w:p w14:paraId="4405DBB7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6B11BF0A" w14:textId="73D28FF5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Perguntas: Nahuel perguntou a Alex e Ngam sobre suas atividades psicossociais: Outros parceiros viram um aumento do nível de violência contra crianças, seja abuso doméstico ou sexual. O CPDC també</w:t>
      </w:r>
      <w:r>
        <w:rPr>
          <w:rFonts w:asciiTheme="majorHAnsi" w:hAnsiTheme="majorHAnsi" w:cstheme="majorHAnsi"/>
          <w:b/>
        </w:rPr>
        <w:t>m observou o mesmo padrão? Alex e Ngam disseram que as crianças não estão especialmente estressadas com o coronavírus, mas mais com o aumento da violência que pode ser visto: muitos adultos perderam o emprego e estão mais estressados em geral, o que aument</w:t>
      </w:r>
      <w:r>
        <w:rPr>
          <w:rFonts w:asciiTheme="majorHAnsi" w:hAnsiTheme="majorHAnsi" w:cstheme="majorHAnsi"/>
          <w:b/>
        </w:rPr>
        <w:t>ou a violência contra as crianças.</w:t>
      </w:r>
    </w:p>
    <w:p w14:paraId="5277608A" w14:textId="187F0C3B" w:rsidR="003869FF" w:rsidRDefault="003869FF">
      <w:pPr>
        <w:spacing w:after="0" w:line="240" w:lineRule="auto"/>
        <w:rPr>
          <w:rFonts w:asciiTheme="majorHAnsi" w:hAnsiTheme="majorHAnsi" w:cstheme="majorHAnsi"/>
          <w:sz w:val="24"/>
        </w:rPr>
      </w:pPr>
    </w:p>
    <w:p w14:paraId="48BF5D8E" w14:textId="77777777" w:rsidR="003869FF" w:rsidRDefault="003869FF">
      <w:pPr>
        <w:spacing w:after="0" w:line="240" w:lineRule="auto"/>
        <w:rPr>
          <w:rFonts w:asciiTheme="majorHAnsi" w:hAnsiTheme="majorHAnsi" w:cstheme="majorHAnsi"/>
          <w:sz w:val="24"/>
        </w:rPr>
      </w:pPr>
    </w:p>
    <w:p w14:paraId="7D95D81F" w14:textId="0E589112" w:rsidR="003869FF" w:rsidRDefault="004A77A8">
      <w:pPr>
        <w:spacing w:after="0" w:line="240" w:lineRule="auto"/>
        <w:jc w:val="center"/>
        <w:rPr>
          <w:rFonts w:asciiTheme="majorHAnsi" w:hAnsiTheme="majorHAnsi"/>
          <w:b/>
          <w:sz w:val="28"/>
        </w:rPr>
      </w:pPr>
      <w:r>
        <w:rPr>
          <w:rFonts w:asciiTheme="majorHAnsi" w:hAnsiTheme="majorHAnsi"/>
          <w:b/>
          <w:sz w:val="28"/>
        </w:rPr>
        <w:t xml:space="preserve">Fundação Holt Sahathai </w:t>
      </w:r>
      <w:r>
        <w:rPr>
          <w:rFonts w:ascii="Calibri" w:eastAsia="Calibri" w:hAnsi="Calibri" w:cs="Cordia New"/>
          <w:b/>
          <w:sz w:val="28"/>
        </w:rPr>
        <w:t>a.k.a. HSF ou Sahathai</w:t>
      </w:r>
      <w:r>
        <w:t xml:space="preserve"> </w:t>
      </w:r>
    </w:p>
    <w:p w14:paraId="78910DBA" w14:textId="77777777" w:rsidR="003869FF" w:rsidRDefault="003869FF">
      <w:pPr>
        <w:spacing w:after="0" w:line="240" w:lineRule="auto"/>
        <w:rPr>
          <w:rFonts w:asciiTheme="majorHAnsi" w:hAnsiTheme="majorHAnsi"/>
        </w:rPr>
      </w:pPr>
    </w:p>
    <w:p w14:paraId="6FC88B22" w14:textId="77777777" w:rsidR="003869FF" w:rsidRDefault="004A77A8">
      <w:pPr>
        <w:spacing w:after="0" w:line="240" w:lineRule="auto"/>
        <w:rPr>
          <w:rFonts w:asciiTheme="majorHAnsi" w:hAnsiTheme="majorHAnsi"/>
          <w:cs/>
        </w:rPr>
      </w:pPr>
      <w:r>
        <w:rPr>
          <w:rFonts w:asciiTheme="majorHAnsi" w:hAnsiTheme="majorHAnsi" w:cstheme="majorHAnsi"/>
          <w:b/>
        </w:rPr>
        <w:t>Nome da(s) pessoa(s) que representam a organização:</w:t>
      </w:r>
      <w:r>
        <w:rPr>
          <w:rFonts w:asciiTheme="majorHAnsi" w:hAnsiTheme="majorHAnsi"/>
        </w:rPr>
        <w:t xml:space="preserve"> Kritsana Joonsong</w:t>
      </w:r>
      <w:r>
        <w:rPr>
          <w:rFonts w:asciiTheme="majorHAnsi" w:hAnsiTheme="majorHAnsi" w:hint="cs"/>
          <w:cs/>
        </w:rPr>
        <w:t xml:space="preserve"> (</w:t>
      </w:r>
      <w:r>
        <w:rPr>
          <w:rFonts w:asciiTheme="majorHAnsi" w:hAnsiTheme="majorHAnsi"/>
        </w:rPr>
        <w:t>Mick</w:t>
      </w:r>
      <w:r>
        <w:rPr>
          <w:rFonts w:asciiTheme="majorHAnsi" w:hAnsiTheme="majorHAnsi" w:hint="cs"/>
          <w:cs/>
        </w:rPr>
        <w:t>)</w:t>
      </w:r>
      <w:r>
        <w:t xml:space="preserve"> </w:t>
      </w:r>
    </w:p>
    <w:p w14:paraId="7B8E8D36" w14:textId="77777777" w:rsidR="003869FF" w:rsidRDefault="003869FF">
      <w:pPr>
        <w:spacing w:after="0" w:line="240" w:lineRule="auto"/>
        <w:rPr>
          <w:rFonts w:asciiTheme="majorHAnsi" w:hAnsiTheme="majorHAnsi"/>
          <w:b/>
        </w:rPr>
      </w:pPr>
    </w:p>
    <w:p w14:paraId="26CC462E" w14:textId="77777777" w:rsidR="003869FF" w:rsidRDefault="004A77A8">
      <w:pPr>
        <w:rPr>
          <w:rFonts w:ascii="Calibri" w:eastAsia="Times New Roman" w:hAnsi="Calibri" w:cs="Times New Roman"/>
        </w:rPr>
      </w:pPr>
      <w:r>
        <w:rPr>
          <w:rFonts w:asciiTheme="majorHAnsi" w:hAnsiTheme="majorHAnsi" w:cstheme="majorHAnsi"/>
          <w:b/>
        </w:rPr>
        <w:t>País:</w:t>
      </w:r>
      <w:r>
        <w:rPr>
          <w:rFonts w:ascii="Calibri" w:eastAsia="Times New Roman" w:hAnsi="Calibri" w:cs="Times New Roman"/>
        </w:rPr>
        <w:t xml:space="preserve"> Nakhon Si Thammarat, TAILÂNDIA</w:t>
      </w:r>
      <w:r>
        <w:t xml:space="preserve"> </w:t>
      </w:r>
    </w:p>
    <w:p w14:paraId="05AD2C67" w14:textId="77777777" w:rsidR="003869FF" w:rsidRDefault="004A77A8">
      <w:pPr>
        <w:pStyle w:val="Nessunaspaziatura"/>
        <w:rPr>
          <w:cs/>
        </w:rPr>
      </w:pPr>
      <w:r>
        <w:rPr>
          <w:rFonts w:asciiTheme="majorHAnsi" w:hAnsiTheme="majorHAnsi" w:cstheme="majorHAnsi"/>
          <w:b/>
        </w:rPr>
        <w:t xml:space="preserve">Número de casos de COVID-19 no país: </w:t>
      </w:r>
      <w:r>
        <w:t xml:space="preserve">Entre 3.545 pacientes infectados com COVID, 3.369 pessoas se recuperaram, 117 pacientes foram hospitalizados e 59 morreram. </w:t>
      </w:r>
      <w:r>
        <w:rPr>
          <w:rFonts w:hint="cs"/>
          <w:cs/>
        </w:rPr>
        <w:t>(</w:t>
      </w:r>
      <w:r>
        <w:rPr>
          <w:rFonts w:eastAsia="Times New Roman" w:cstheme="minorHAnsi"/>
        </w:rPr>
        <w:t>Informações em 28 de setembro de 2020</w:t>
      </w:r>
      <w:r>
        <w:rPr>
          <w:rFonts w:hint="cs"/>
          <w:cs/>
        </w:rPr>
        <w:t>)</w:t>
      </w:r>
      <w:r>
        <w:t xml:space="preserve"> </w:t>
      </w:r>
    </w:p>
    <w:p w14:paraId="5F8D2F27" w14:textId="77777777" w:rsidR="003869FF" w:rsidRDefault="003869FF">
      <w:pPr>
        <w:spacing w:after="0" w:line="240" w:lineRule="auto"/>
        <w:rPr>
          <w:rFonts w:asciiTheme="majorHAnsi" w:hAnsiTheme="majorHAnsi"/>
          <w:b/>
        </w:rPr>
      </w:pPr>
    </w:p>
    <w:p w14:paraId="4656CCCD" w14:textId="77777777" w:rsidR="003869FF" w:rsidRDefault="004A77A8">
      <w:pPr>
        <w:spacing w:after="0" w:line="240" w:lineRule="auto"/>
        <w:rPr>
          <w:rFonts w:asciiTheme="majorHAnsi" w:hAnsiTheme="majorHAnsi"/>
          <w:b/>
        </w:rPr>
      </w:pPr>
      <w:r>
        <w:rPr>
          <w:rFonts w:asciiTheme="majorHAnsi" w:hAnsiTheme="majorHAnsi" w:cstheme="majorHAnsi"/>
          <w:b/>
        </w:rPr>
        <w:t xml:space="preserve">Contexto do país: </w:t>
      </w:r>
      <w:r>
        <w:rPr>
          <w:rFonts w:asciiTheme="majorHAnsi" w:hAnsiTheme="majorHAnsi" w:cstheme="majorHAnsi"/>
          <w:i/>
          <w:iCs/>
          <w:color w:val="2F5496" w:themeColor="accent5" w:themeShade="BF"/>
        </w:rPr>
        <w:t>(máximo de 200 palavras)</w:t>
      </w:r>
    </w:p>
    <w:p w14:paraId="0AFBA1F4" w14:textId="77777777" w:rsidR="003869FF" w:rsidRDefault="004A77A8">
      <w:pPr>
        <w:shd w:val="clear" w:color="auto" w:fill="FFFFFF"/>
        <w:spacing w:before="120" w:after="120" w:line="240" w:lineRule="auto"/>
        <w:jc w:val="both"/>
        <w:rPr>
          <w:rFonts w:eastAsia="Times New Roman" w:cstheme="minorHAnsi"/>
        </w:rPr>
      </w:pPr>
      <w:r>
        <w:rPr>
          <w:rFonts w:eastAsia="Times New Roman" w:cstheme="minorHAnsi"/>
          <w:b/>
        </w:rPr>
        <w:t xml:space="preserve">Tailândia </w:t>
      </w:r>
      <w:r>
        <w:rPr>
          <w:rFonts w:eastAsia="Times New Roman" w:cstheme="minorHAnsi"/>
        </w:rPr>
        <w:t>tem uma população de 69.183.173 que é a 20ª maior do mundo, mas espera-se que a população diminua antes de 2020 A Tailândia foi uma das taxas de fertilidade em declínio mais rápido no mundo entre 1970 e 1990. A taxa de fecundidade internacional diminuiu de</w:t>
      </w:r>
      <w:r>
        <w:rPr>
          <w:rFonts w:eastAsia="Times New Roman" w:cstheme="minorHAnsi"/>
        </w:rPr>
        <w:t xml:space="preserve"> 5,5 para 2,2 devido à contracepção. O tamanho desejado da família diminuiu Diminuição da proporção de cônjuges e do casamento em 2009, a taxa de fertilidade da Tailândia era de 1,5 em 2010, a taxa de natalidade era de aproximadamente 13 por 1.000 estimou </w:t>
      </w:r>
      <w:r>
        <w:rPr>
          <w:rFonts w:eastAsia="Times New Roman" w:cstheme="minorHAnsi"/>
        </w:rPr>
        <w:t>o número de idosos no Canadá. Isso aumentará para 15% até 2030 a população total em idade ativa começará a diminuir após 2020 </w:t>
      </w:r>
    </w:p>
    <w:p w14:paraId="7280BA12" w14:textId="77777777" w:rsidR="003869FF" w:rsidRDefault="004A77A8">
      <w:pPr>
        <w:shd w:val="clear" w:color="auto" w:fill="FFFFFF"/>
        <w:spacing w:before="120" w:after="120" w:line="240" w:lineRule="auto"/>
        <w:ind w:firstLine="600"/>
        <w:jc w:val="both"/>
        <w:rPr>
          <w:rFonts w:eastAsia="Times New Roman" w:cstheme="minorHAnsi"/>
        </w:rPr>
      </w:pPr>
      <w:r>
        <w:rPr>
          <w:rFonts w:eastAsia="Times New Roman" w:cstheme="minorHAnsi"/>
        </w:rPr>
        <w:t>O número de nascimentos de adolescentes é maior. Estatísticas de mulheres de 15-19 anos casadas em 2010, com cerca de 330.000 pes</w:t>
      </w:r>
      <w:r>
        <w:rPr>
          <w:rFonts w:eastAsia="Times New Roman" w:cstheme="minorHAnsi"/>
        </w:rPr>
        <w:t>soas, e em 2009 o número de mães com menos de 19 anos de 765.000 pessoas </w:t>
      </w:r>
      <w:hyperlink r:id="rId16" w:tooltip="Abortion" w:history="1">
        <w:r>
          <w:rPr>
            <w:rFonts w:eastAsia="Times New Roman" w:cstheme="minorHAnsi"/>
          </w:rPr>
          <w:t>que fazem</w:t>
        </w:r>
      </w:hyperlink>
      <w:r>
        <w:rPr>
          <w:rFonts w:eastAsia="Times New Roman" w:cstheme="minorHAnsi"/>
        </w:rPr>
        <w:t> aborto. Com a lei na Tailândia </w:t>
      </w:r>
      <w:r>
        <w:rPr>
          <w:rFonts w:eastAsia="Times New Roman" w:cstheme="minorHAnsi"/>
        </w:rPr>
        <w:t>exceto para os médicos sob certas condições. Em 2006-2009, ocorreram mais de 60.000 abortos induzidos por ano.</w:t>
      </w:r>
    </w:p>
    <w:p w14:paraId="4F6F39BA" w14:textId="78C28E65" w:rsidR="003869FF" w:rsidRDefault="004A77A8">
      <w:pPr>
        <w:spacing w:after="0" w:line="240" w:lineRule="auto"/>
        <w:jc w:val="both"/>
        <w:rPr>
          <w:rFonts w:cstheme="minorHAnsi"/>
          <w:shd w:val="clear" w:color="auto" w:fill="FFFFFF"/>
        </w:rPr>
      </w:pPr>
      <w:r>
        <w:rPr>
          <w:rFonts w:cstheme="minorHAnsi"/>
          <w:b/>
          <w:shd w:val="clear" w:color="auto" w:fill="FFFFFF"/>
        </w:rPr>
        <w:t>Nakhon Si Thammarat</w:t>
      </w:r>
      <w:r>
        <w:rPr>
          <w:rFonts w:cstheme="minorHAnsi"/>
          <w:shd w:val="clear" w:color="auto" w:fill="FFFFFF"/>
        </w:rPr>
        <w:t> é uma </w:t>
      </w:r>
      <w:r>
        <w:t xml:space="preserve">província </w:t>
      </w:r>
      <w:hyperlink r:id="rId17" w:tooltip="province" w:history="1">
        <w:r>
          <w:rPr>
            <w:rFonts w:cstheme="minorHAnsi"/>
            <w:shd w:val="clear" w:color="auto" w:fill="FFFFFF"/>
          </w:rPr>
          <w:t>do sul</w:t>
        </w:r>
      </w:hyperlink>
      <w:r>
        <w:rPr>
          <w:rFonts w:cstheme="minorHAnsi"/>
          <w:shd w:val="clear" w:color="auto" w:fill="FFFFFF"/>
        </w:rPr>
        <w:t> da </w:t>
      </w:r>
      <w:hyperlink r:id="rId18" w:tooltip="Thailand" w:history="1">
        <w:r>
          <w:rPr>
            <w:rFonts w:cstheme="minorHAnsi"/>
            <w:shd w:val="clear" w:color="auto" w:fill="FFFFFF"/>
          </w:rPr>
          <w:t>Tailândia</w:t>
        </w:r>
      </w:hyperlink>
      <w:r>
        <w:rPr>
          <w:rFonts w:cstheme="minorHAnsi"/>
          <w:shd w:val="clear" w:color="auto" w:fill="FFFFFF"/>
        </w:rPr>
        <w:t xml:space="preserve"> com </w:t>
      </w:r>
      <w:hyperlink r:id="rId19" w:tooltip="population" w:history="1">
        <w:r>
          <w:rPr>
            <w:rFonts w:cstheme="minorHAnsi"/>
            <w:shd w:val="clear" w:color="auto" w:fill="FFFFFF"/>
          </w:rPr>
          <w:t>a</w:t>
        </w:r>
      </w:hyperlink>
      <w:r>
        <w:rPr>
          <w:rFonts w:cstheme="minorHAnsi"/>
          <w:shd w:val="clear" w:color="auto" w:fill="FFFFFF"/>
        </w:rPr>
        <w:t> maior </w:t>
      </w:r>
      <w:hyperlink r:id="rId20" w:tooltip="population" w:history="1">
        <w:r>
          <w:rPr>
            <w:rFonts w:cstheme="minorHAnsi"/>
            <w:shd w:val="clear" w:color="auto" w:fill="FFFFFF"/>
          </w:rPr>
          <w:t>população</w:t>
        </w:r>
      </w:hyperlink>
      <w:r>
        <w:rPr>
          <w:rFonts w:cstheme="minorHAnsi"/>
          <w:shd w:val="clear" w:color="auto" w:fill="FFFFFF"/>
        </w:rPr>
        <w:t> e a secunda maior área, aproximadamente 780 Km de </w:t>
      </w:r>
      <w:hyperlink r:id="rId21" w:tooltip="Bangkok" w:history="1">
        <w:r>
          <w:rPr>
            <w:rFonts w:cstheme="minorHAnsi"/>
            <w:shd w:val="clear" w:color="auto" w:fill="FFFFFF"/>
          </w:rPr>
          <w:t>Bangkok</w:t>
        </w:r>
      </w:hyperlink>
      <w:r>
        <w:rPr>
          <w:rFonts w:cstheme="minorHAnsi"/>
          <w:shd w:val="clear" w:color="auto" w:fill="FFFFFF"/>
        </w:rPr>
        <w:t>.</w:t>
      </w:r>
      <w:r w:rsidR="00A27A47">
        <w:rPr>
          <w:rFonts w:cstheme="minorHAnsi"/>
          <w:shd w:val="clear" w:color="auto" w:fill="FFFFFF"/>
        </w:rPr>
        <w:t xml:space="preserve"> </w:t>
      </w:r>
      <w:r>
        <w:rPr>
          <w:rFonts w:eastAsia="Times New Roman" w:cstheme="minorHAnsi"/>
        </w:rPr>
        <w:t>Em março de 2018, o número da população em Nakhon era de 1.556.903, com</w:t>
      </w:r>
      <w:r>
        <w:rPr>
          <w:rFonts w:eastAsia="Times New Roman" w:cstheme="minorHAnsi"/>
        </w:rPr>
        <w:t xml:space="preserve"> um número de 559.490 famílias. </w:t>
      </w:r>
      <w:r>
        <w:rPr>
          <w:rFonts w:cstheme="minorHAnsi"/>
          <w:shd w:val="clear" w:color="auto" w:fill="FFFFFF"/>
        </w:rPr>
        <w:t>A economia </w:t>
      </w:r>
      <w:hyperlink r:id="rId22" w:tooltip="เศรษฐกิจ" w:history="1">
        <w:r>
          <w:rPr>
            <w:rFonts w:cstheme="minorHAnsi"/>
            <w:shd w:val="clear" w:color="auto" w:fill="FFFFFF"/>
          </w:rPr>
          <w:t>geral</w:t>
        </w:r>
      </w:hyperlink>
      <w:r>
        <w:rPr>
          <w:rFonts w:cstheme="minorHAnsi"/>
          <w:shd w:val="clear" w:color="auto" w:fill="FFFFFF"/>
        </w:rPr>
        <w:t xml:space="preserve"> depende do setor agrícola : </w:t>
      </w:r>
      <w:hyperlink r:id="rId23" w:tooltip="Rubber" w:history="1">
        <w:r>
          <w:rPr>
            <w:rFonts w:cstheme="minorHAnsi"/>
            <w:shd w:val="clear" w:color="auto" w:fill="FFFFFF"/>
          </w:rPr>
          <w:t>plantação de</w:t>
        </w:r>
      </w:hyperlink>
      <w:r>
        <w:rPr>
          <w:rFonts w:cstheme="minorHAnsi"/>
          <w:shd w:val="clear" w:color="auto" w:fill="FFFFFF"/>
        </w:rPr>
        <w:t> seringueira, plantação de óleo de palma, lavoura, pomar de frutas, plantação de coco</w:t>
      </w:r>
      <w:hyperlink r:id="rId24" w:tooltip="Fisheries" w:history="1">
        <w:r>
          <w:rPr>
            <w:rFonts w:cstheme="minorHAnsi"/>
            <w:shd w:val="clear" w:color="auto" w:fill="FFFFFF"/>
          </w:rPr>
          <w:t>, pesca</w:t>
        </w:r>
      </w:hyperlink>
      <w:r>
        <w:rPr>
          <w:rFonts w:cstheme="minorHAnsi"/>
          <w:shd w:val="clear" w:color="auto" w:fill="FFFFFF"/>
        </w:rPr>
        <w:t>, aquicultura costeira e pecuária.</w:t>
      </w:r>
    </w:p>
    <w:p w14:paraId="790671B4" w14:textId="77777777" w:rsidR="003869FF" w:rsidRDefault="003869FF">
      <w:pPr>
        <w:spacing w:after="0" w:line="240" w:lineRule="auto"/>
        <w:jc w:val="both"/>
        <w:rPr>
          <w:rFonts w:cstheme="minorHAnsi"/>
          <w:b/>
        </w:rPr>
      </w:pPr>
    </w:p>
    <w:p w14:paraId="0744FE21" w14:textId="77777777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Atividades implementadas e planejadas pela organização:</w:t>
      </w:r>
      <w:r>
        <w:rPr>
          <w:rFonts w:asciiTheme="majorHAnsi" w:hAnsiTheme="majorHAnsi" w:cstheme="majorHAnsi"/>
          <w:i/>
          <w:iCs/>
          <w:color w:val="2F5496" w:themeColor="accent5" w:themeShade="BF"/>
        </w:rPr>
        <w:t xml:space="preserve"> (máximo de 200 palavras)</w:t>
      </w:r>
      <w:r>
        <w:t xml:space="preserve"> </w:t>
      </w:r>
    </w:p>
    <w:p w14:paraId="7CD5F5A7" w14:textId="75469731" w:rsidR="003869FF" w:rsidRDefault="004A77A8">
      <w:pPr>
        <w:spacing w:after="0" w:line="240" w:lineRule="auto"/>
        <w:jc w:val="both"/>
        <w:rPr>
          <w:rFonts w:ascii="Calibri" w:eastAsia="MS Mincho" w:hAnsi="Calibri" w:cs="Cordia New"/>
        </w:rPr>
      </w:pPr>
      <w:r>
        <w:rPr>
          <w:rFonts w:ascii="Calibri" w:eastAsia="MS Mincho" w:hAnsi="Calibri" w:cs="Cordia New"/>
        </w:rPr>
        <w:t>Nossas principais atividades são o trabalho social e o trabalho em grupo que ser</w:t>
      </w:r>
      <w:r>
        <w:rPr>
          <w:rFonts w:ascii="Calibri" w:eastAsia="MS Mincho" w:hAnsi="Calibri" w:cs="Cordia New"/>
        </w:rPr>
        <w:t>ão regularmente implementados ao longo dos próximos 3 anos; o HSF continuará as 4 novas atividades que foram iniciadas e implementadas durante 2016-2018, e estarão servindo ao programa como "Atividades Especiais" durante 2019 - 2021, até que todas elas pos</w:t>
      </w:r>
      <w:r>
        <w:rPr>
          <w:rFonts w:ascii="Calibri" w:eastAsia="MS Mincho" w:hAnsi="Calibri" w:cs="Cordia New"/>
        </w:rPr>
        <w:t xml:space="preserve">sam ser gradualmente integradas com as </w:t>
      </w:r>
      <w:r>
        <w:rPr>
          <w:rFonts w:ascii="Calibri" w:eastAsia="MS Mincho" w:hAnsi="Calibri" w:cs="Cordia New"/>
        </w:rPr>
        <w:lastRenderedPageBreak/>
        <w:t>atividades padrão do serviço social dentro deste período de 3 anos. Estas 4 atividades especiais são 1) Desenvolvimento de Voluntariado, 2) Desenvolvimento de Modelo de Gestão de Casos Comunitários (CM) para Cuidar de</w:t>
      </w:r>
      <w:r>
        <w:rPr>
          <w:rFonts w:ascii="Calibri" w:eastAsia="MS Mincho" w:hAnsi="Calibri" w:cs="Cordia New"/>
        </w:rPr>
        <w:t xml:space="preserve"> Crianças em Circunstâncias Difíceis, 3) Apoio a Projeto de Autoaprendizagem Informal de Crianças e Pais para Promover o Desenvolvimento Pessoal e Familiar e 4) Promoção da Agricultura Vegetal Tamanho Família. Além disso, a fim de continuar a ter ferrament</w:t>
      </w:r>
      <w:r>
        <w:rPr>
          <w:rFonts w:ascii="Calibri" w:eastAsia="MS Mincho" w:hAnsi="Calibri" w:cs="Cordia New"/>
        </w:rPr>
        <w:t>as proativas para atingir os objetivos do Programa de Reabilitação e Preservação da Família de forma mais eficaz, a HSF também planeja iniciar essas 3 novas atividades durante 2019-2021: 1) Avançando para se tornar o Modelo de Papel da Família Sahathai, 2)</w:t>
      </w:r>
      <w:r>
        <w:rPr>
          <w:rFonts w:ascii="Calibri" w:eastAsia="MS Mincho" w:hAnsi="Calibri" w:cs="Cordia New"/>
        </w:rPr>
        <w:t xml:space="preserve"> Serviços móveis de Sahathai para a escola e 3) Fortalecimento da parceria e da capacidade dos parceiros locais na prestação de serviços para gravidez despreparada. Geralmente, eles são para o HSF ser capaz de ajudar as famílias sendo beneficiárias do prog</w:t>
      </w:r>
      <w:r>
        <w:rPr>
          <w:rFonts w:ascii="Calibri" w:eastAsia="MS Mincho" w:hAnsi="Calibri" w:cs="Cordia New"/>
        </w:rPr>
        <w:t xml:space="preserve">rama a encontrar seu caminho para se tornarem autossuficientes, bem como colaborar com parceiros locais para garantir que crianças carentes e pais em circunstâncias difíceis possam ter acesso ao tipo de serviços de que precisam. </w:t>
      </w:r>
    </w:p>
    <w:p w14:paraId="373DF451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5ED28996" w14:textId="77777777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 xml:space="preserve">2/3 fotos das atividades </w:t>
      </w:r>
      <w:r>
        <w:rPr>
          <w:rFonts w:asciiTheme="majorHAnsi" w:hAnsiTheme="majorHAnsi" w:cstheme="majorHAnsi"/>
          <w:b/>
        </w:rPr>
        <w:t>realizadas:</w:t>
      </w:r>
    </w:p>
    <w:p w14:paraId="4DF5283E" w14:textId="77777777" w:rsidR="003869FF" w:rsidRDefault="003869FF">
      <w:pPr>
        <w:spacing w:after="0" w:line="240" w:lineRule="auto"/>
        <w:rPr>
          <w:rFonts w:asciiTheme="majorHAnsi" w:hAnsiTheme="majorHAnsi" w:cstheme="majorHAnsi"/>
          <w:sz w:val="24"/>
        </w:rPr>
      </w:pPr>
    </w:p>
    <w:p w14:paraId="5115A9D0" w14:textId="77777777" w:rsidR="003869FF" w:rsidRDefault="004A77A8">
      <w:pPr>
        <w:spacing w:after="0" w:line="240" w:lineRule="auto"/>
        <w:jc w:val="center"/>
        <w:rPr>
          <w:rFonts w:asciiTheme="majorHAnsi" w:hAnsiTheme="majorHAnsi"/>
          <w:sz w:val="24"/>
        </w:rPr>
      </w:pPr>
      <w:r>
        <w:rPr>
          <w:rFonts w:asciiTheme="majorHAnsi" w:hAnsiTheme="majorHAnsi" w:cstheme="majorHAnsi"/>
          <w:b/>
          <w:noProof/>
        </w:rPr>
        <w:drawing>
          <wp:inline distT="0" distB="0" distL="0" distR="0" wp14:anchorId="4C530CB9" wp14:editId="291BFDA9">
            <wp:extent cx="3093720" cy="2171423"/>
            <wp:effectExtent l="0" t="0" r="0" b="635"/>
            <wp:docPr id="1" name="รูปภาพ 1" descr="H:\Partage_narrative_report\Partner profil_HSF\01_การทำงานให้คำปรึกษาครอบครัว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Partage_narrative_report\Partner profil_HSF\01_การทำงานให้คำปรึกษาครอบครัว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081" cy="217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2081DB" w14:textId="77777777" w:rsidR="003869FF" w:rsidRDefault="004A77A8">
      <w:pPr>
        <w:spacing w:after="0" w:line="240" w:lineRule="auto"/>
        <w:jc w:val="center"/>
        <w:rPr>
          <w:rFonts w:cstheme="minorHAnsi"/>
        </w:rPr>
      </w:pPr>
      <w:r>
        <w:rPr>
          <w:rFonts w:cstheme="minorHAnsi"/>
        </w:rPr>
        <w:t>Aconselhamento</w:t>
      </w:r>
    </w:p>
    <w:p w14:paraId="45227A9C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56C69A85" w14:textId="77777777" w:rsidR="003869FF" w:rsidRDefault="004A77A8">
      <w:pPr>
        <w:spacing w:after="0" w:line="240" w:lineRule="auto"/>
        <w:jc w:val="center"/>
        <w:rPr>
          <w:rFonts w:asciiTheme="majorHAnsi" w:hAnsiTheme="majorHAnsi"/>
          <w:b/>
        </w:rPr>
      </w:pPr>
      <w:r>
        <w:rPr>
          <w:rFonts w:asciiTheme="majorHAnsi" w:hAnsiTheme="majorHAnsi" w:cstheme="majorHAnsi"/>
          <w:noProof/>
        </w:rPr>
        <w:drawing>
          <wp:inline distT="0" distB="0" distL="0" distR="0" wp14:anchorId="31DF0ED1" wp14:editId="55483A45">
            <wp:extent cx="3177360" cy="2114550"/>
            <wp:effectExtent l="0" t="0" r="4445" b="0"/>
            <wp:docPr id="2" name="รูปภาพ 2" descr="H:\Partage_narrative_report\Partner profil_HSF\02_เยี่ยมบ้านผู้ใช้บริการ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Partage_narrative_report\Partner profil_HSF\02_เยี่ยมบ้านผู้ใช้บริการ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736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22D715" w14:textId="77777777" w:rsidR="003869FF" w:rsidRDefault="004A77A8">
      <w:pPr>
        <w:spacing w:after="0" w:line="240" w:lineRule="auto"/>
        <w:jc w:val="center"/>
        <w:rPr>
          <w:cs/>
        </w:rPr>
      </w:pPr>
      <w:r>
        <w:rPr>
          <w:rFonts w:cstheme="minorHAnsi"/>
        </w:rPr>
        <w:t>Visita domiciliar</w:t>
      </w:r>
    </w:p>
    <w:p w14:paraId="7FA1F048" w14:textId="77777777" w:rsidR="003869FF" w:rsidRDefault="004A77A8">
      <w:pPr>
        <w:spacing w:after="0" w:line="240" w:lineRule="auto"/>
        <w:jc w:val="center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  <w:noProof/>
        </w:rPr>
        <w:lastRenderedPageBreak/>
        <w:drawing>
          <wp:inline distT="0" distB="0" distL="0" distR="0" wp14:anchorId="4EF05ACF" wp14:editId="75D886B2">
            <wp:extent cx="3220085" cy="2142983"/>
            <wp:effectExtent l="0" t="0" r="0" b="0"/>
            <wp:docPr id="3" name="รูปภาพ 3" descr="H:\Partage_narrative_report\Partner profil_HSF\03_กิจกรรมกลุ่มพัฒนาศักยภาพเด็กและครอบครัว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Partage_narrative_report\Partner profil_HSF\03_กิจกรรมกลุ่มพัฒนาศักยภาพเด็กและครอบครัว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164" cy="2149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8BE815" w14:textId="77777777" w:rsidR="003869FF" w:rsidRDefault="004A77A8">
      <w:pPr>
        <w:spacing w:after="0" w:line="240" w:lineRule="auto"/>
        <w:jc w:val="center"/>
        <w:rPr>
          <w:rFonts w:cstheme="minorHAnsi"/>
        </w:rPr>
      </w:pPr>
      <w:r>
        <w:rPr>
          <w:rFonts w:cstheme="minorHAnsi"/>
        </w:rPr>
        <w:t>Atividade de trabalho em grupo</w:t>
      </w:r>
    </w:p>
    <w:p w14:paraId="7074FF1A" w14:textId="74AF677A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0821A7FD" w14:textId="6BD6E661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 xml:space="preserve">Perguntas: Durante sua apresentação, Mick falou sobre iniciativas de produção local para famílias desenvolvidas por meio de empréstimos e apoio do HSF, Nahuel pediu para saber um pouco mais sobre a replicabilidade dessas atividades. Mick disse que tiveram </w:t>
      </w:r>
      <w:r>
        <w:rPr>
          <w:rFonts w:asciiTheme="majorHAnsi" w:hAnsiTheme="majorHAnsi" w:cstheme="majorHAnsi"/>
          <w:b/>
        </w:rPr>
        <w:t>várias etapas para acompanhar as famílias, uma das etapas é incentivar a família a compartilhar o progresso com outras pessoas da comunidade, para que vejam que é possível mudar e que podem ser um exemplo.</w:t>
      </w:r>
    </w:p>
    <w:p w14:paraId="2CA0EE92" w14:textId="6A43A5C5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403B5DD1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0715DFFE" w14:textId="0C5000E3" w:rsidR="003869FF" w:rsidRDefault="004A77A8">
      <w:pPr>
        <w:spacing w:after="0" w:line="240" w:lineRule="auto"/>
        <w:jc w:val="center"/>
        <w:rPr>
          <w:rFonts w:asciiTheme="majorHAnsi" w:hAnsiTheme="majorHAnsi" w:cstheme="majorHAnsi"/>
          <w:b/>
          <w:sz w:val="28"/>
        </w:rPr>
      </w:pPr>
      <w:r>
        <w:rPr>
          <w:rFonts w:asciiTheme="majorHAnsi" w:hAnsiTheme="majorHAnsi" w:cstheme="majorHAnsi"/>
          <w:b/>
          <w:sz w:val="28"/>
        </w:rPr>
        <w:t>Centro Watabaran Infantil Nepal</w:t>
      </w:r>
    </w:p>
    <w:p w14:paraId="6D3EC732" w14:textId="77777777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 xml:space="preserve">Nome da(s) pessoa(s) que representam a organização: Lata Nepal </w:t>
      </w:r>
    </w:p>
    <w:p w14:paraId="1C6CC4A6" w14:textId="77777777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 xml:space="preserve">País: Nepal </w:t>
      </w:r>
    </w:p>
    <w:p w14:paraId="13C0D4F9" w14:textId="5062EACE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 xml:space="preserve">Número de casos de COVID-19 no país: 20.851 (casos ativos até 30 de setembro) </w:t>
      </w:r>
    </w:p>
    <w:p w14:paraId="67B6FE91" w14:textId="77777777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 xml:space="preserve">Contexto do país: </w:t>
      </w:r>
      <w:r>
        <w:rPr>
          <w:rFonts w:asciiTheme="majorHAnsi" w:hAnsiTheme="majorHAnsi" w:cstheme="majorHAnsi"/>
          <w:i/>
          <w:iCs/>
          <w:color w:val="2F5496" w:themeColor="accent5" w:themeShade="BF"/>
        </w:rPr>
        <w:t>(máximo de 200 palavras)</w:t>
      </w:r>
      <w:r>
        <w:t xml:space="preserve"> </w:t>
      </w:r>
    </w:p>
    <w:p w14:paraId="7250DDA9" w14:textId="29B316EB" w:rsidR="003869FF" w:rsidRDefault="004A77A8">
      <w:pPr>
        <w:rPr>
          <w:rFonts w:asciiTheme="majorHAnsi" w:hAnsiTheme="majorHAnsi" w:cs="Times New Roman"/>
          <w:color w:val="000000" w:themeColor="text1"/>
          <w:shd w:val="clear" w:color="auto" w:fill="F9FAFB"/>
        </w:rPr>
      </w:pPr>
      <w:r>
        <w:rPr>
          <w:rFonts w:asciiTheme="majorHAnsi" w:hAnsiTheme="majorHAnsi" w:cs="Times New Roman"/>
          <w:color w:val="000000" w:themeColor="text1"/>
          <w:shd w:val="clear" w:color="auto" w:fill="F9FAFB"/>
        </w:rPr>
        <w:t xml:space="preserve">Nepal, país sem litoral </w:t>
      </w:r>
      <w:r>
        <w:rPr>
          <w:rFonts w:asciiTheme="majorHAnsi" w:hAnsiTheme="majorHAnsi" w:cs="Times New Roman"/>
          <w:color w:val="000000" w:themeColor="text1"/>
          <w:shd w:val="clear" w:color="auto" w:fill="F9FAFB"/>
        </w:rPr>
        <w:t>localizado no sul da Ásia e faz fronteira com a China e a Índia. A escolha mais elevada do mundo, o 'Monte Everest' e local de nascimento do Senhor Buda, é sua identidade. O Nepal tem sistema de governo federal. "Namaste" é uma palavra geralmente usada par</w:t>
      </w:r>
      <w:r>
        <w:rPr>
          <w:rFonts w:asciiTheme="majorHAnsi" w:hAnsiTheme="majorHAnsi" w:cs="Times New Roman"/>
          <w:color w:val="000000" w:themeColor="text1"/>
          <w:shd w:val="clear" w:color="auto" w:fill="F9FAFB"/>
        </w:rPr>
        <w:t xml:space="preserve">a saudações. </w:t>
      </w:r>
      <w:r>
        <w:rPr>
          <w:rFonts w:asciiTheme="majorHAnsi" w:hAnsiTheme="majorHAnsi" w:cs="Times New Roman"/>
          <w:color w:val="000000" w:themeColor="text1"/>
          <w:shd w:val="clear" w:color="auto" w:fill="FFFFFF"/>
        </w:rPr>
        <w:t>O Nepal está entre os países mais pobres e menos desenvolvidos do mundo. Os nepaleses são geralmente muito amigáveis e curiosos, assim que te conhecem podem ficar perto de você. Segura sua mão enquanto fala, dá tapinhas nas suas costas e até l</w:t>
      </w:r>
      <w:r>
        <w:rPr>
          <w:rFonts w:asciiTheme="majorHAnsi" w:hAnsiTheme="majorHAnsi" w:cs="Times New Roman"/>
          <w:color w:val="000000" w:themeColor="text1"/>
          <w:shd w:val="clear" w:color="auto" w:fill="FFFFFF"/>
        </w:rPr>
        <w:t xml:space="preserve">he dá um abraço. No entanto, mantenha um pouco de distância ao falar com o sexo oposto. O hinduísmo e o budismo são religiões muito comuns no Nepal e ambas têm se influenciado mutuamente. </w:t>
      </w:r>
      <w:r>
        <w:rPr>
          <w:rFonts w:asciiTheme="majorHAnsi" w:hAnsiTheme="majorHAnsi" w:cs="Times New Roman"/>
          <w:color w:val="000000" w:themeColor="text1"/>
        </w:rPr>
        <w:t>A diversidade étnica do Nepal é acompanhada pela diversidade linguís</w:t>
      </w:r>
      <w:r>
        <w:rPr>
          <w:rFonts w:asciiTheme="majorHAnsi" w:hAnsiTheme="majorHAnsi" w:cs="Times New Roman"/>
          <w:color w:val="000000" w:themeColor="text1"/>
        </w:rPr>
        <w:t xml:space="preserve">tica. </w:t>
      </w:r>
      <w:r>
        <w:rPr>
          <w:rFonts w:asciiTheme="majorHAnsi" w:hAnsiTheme="majorHAnsi" w:cs="Times New Roman"/>
          <w:color w:val="000000" w:themeColor="text1"/>
          <w:shd w:val="clear" w:color="auto" w:fill="FFFFFF"/>
        </w:rPr>
        <w:t>As roupas do Nepal refletem a variedade de povos e culturas do país. Cada comunidade tem seus próprios estilos particulares de vestimenta e gostam de falar com pessoas de fora de seu país.</w:t>
      </w:r>
      <w:r>
        <w:rPr>
          <w:rFonts w:asciiTheme="majorHAnsi" w:hAnsiTheme="majorHAnsi" w:cs="Times New Roman"/>
          <w:color w:val="000000" w:themeColor="text1"/>
          <w:shd w:val="clear" w:color="auto" w:fill="FFFFFF"/>
        </w:rPr>
        <w:br/>
        <w:t xml:space="preserve"> </w:t>
      </w:r>
      <w:r>
        <w:rPr>
          <w:rStyle w:val="normaltextrun"/>
          <w:rFonts w:asciiTheme="majorHAnsi" w:hAnsiTheme="majorHAnsi" w:cs="Times New Roman"/>
          <w:color w:val="000000"/>
          <w:shd w:val="clear" w:color="auto" w:fill="FFFFFF"/>
        </w:rPr>
        <w:t>Consequentemente, a pandemia do Covid-19 afetou todas as áre</w:t>
      </w:r>
      <w:r>
        <w:rPr>
          <w:rStyle w:val="normaltextrun"/>
          <w:rFonts w:asciiTheme="majorHAnsi" w:hAnsiTheme="majorHAnsi" w:cs="Times New Roman"/>
          <w:color w:val="000000"/>
          <w:shd w:val="clear" w:color="auto" w:fill="FFFFFF"/>
        </w:rPr>
        <w:t xml:space="preserve">as do país. O governo tomou várias precauções para evitar a propagação de doenças, como o fechamento do país, das fronteiras com a Índia e a China foram fechadas. </w:t>
      </w:r>
      <w:r>
        <w:rPr>
          <w:rFonts w:asciiTheme="majorHAnsi" w:hAnsiTheme="majorHAnsi" w:cs="Times New Roman"/>
          <w:color w:val="000000" w:themeColor="text1"/>
          <w:shd w:val="clear" w:color="auto" w:fill="FFFFFF"/>
        </w:rPr>
        <w:t>A pandemia global do COVID-19 levou ao fechamento de instituições educacionais do Nepal, afetando mais de 90% dos alunos. A pandemia levou ao fechamento de todas as instituições educacionais por um período indefinido. As crianças, especialmente em áreas ru</w:t>
      </w:r>
      <w:r>
        <w:rPr>
          <w:rFonts w:asciiTheme="majorHAnsi" w:hAnsiTheme="majorHAnsi" w:cs="Times New Roman"/>
          <w:color w:val="000000" w:themeColor="text1"/>
          <w:shd w:val="clear" w:color="auto" w:fill="FFFFFF"/>
        </w:rPr>
        <w:t xml:space="preserve">rais e remotas, sem acesso à aprendizagem online, aumentam a distância entre crianças favorecidas e desfavorecidas. </w:t>
      </w:r>
    </w:p>
    <w:p w14:paraId="23548632" w14:textId="77777777" w:rsidR="003869FF" w:rsidRDefault="004A77A8">
      <w:pPr>
        <w:pStyle w:val="NormaleWeb"/>
        <w:tabs>
          <w:tab w:val="left" w:pos="1590"/>
        </w:tabs>
        <w:spacing w:before="0" w:beforeAutospacing="0" w:after="150" w:afterAutospacing="0"/>
        <w:rPr>
          <w:rFonts w:asciiTheme="majorHAnsi" w:hAnsiTheme="majorHAnsi"/>
          <w:color w:val="000000" w:themeColor="text1"/>
          <w:sz w:val="22"/>
        </w:rPr>
      </w:pPr>
      <w:r>
        <w:rPr>
          <w:rFonts w:asciiTheme="majorHAnsi" w:hAnsiTheme="majorHAnsi"/>
          <w:color w:val="000000" w:themeColor="text1"/>
          <w:sz w:val="22"/>
        </w:rPr>
        <w:tab/>
      </w:r>
    </w:p>
    <w:p w14:paraId="7CACF1EB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11C9C8B3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0525261D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7D33EB04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4BCBF968" w14:textId="77777777" w:rsidR="003869FF" w:rsidRDefault="004A77A8">
      <w:pPr>
        <w:spacing w:after="0" w:line="240" w:lineRule="auto"/>
        <w:rPr>
          <w:rFonts w:asciiTheme="majorHAnsi" w:hAnsiTheme="majorHAnsi" w:cstheme="majorHAnsi"/>
          <w:i/>
          <w:iCs/>
          <w:color w:val="2F5496" w:themeColor="accent5" w:themeShade="BF"/>
        </w:rPr>
      </w:pPr>
      <w:r>
        <w:rPr>
          <w:rFonts w:asciiTheme="majorHAnsi" w:hAnsiTheme="majorHAnsi" w:cstheme="majorHAnsi"/>
          <w:b/>
        </w:rPr>
        <w:t xml:space="preserve">Atividades implementadas e planejadas pela organização: </w:t>
      </w:r>
      <w:r>
        <w:rPr>
          <w:rFonts w:asciiTheme="majorHAnsi" w:hAnsiTheme="majorHAnsi" w:cstheme="majorHAnsi"/>
          <w:i/>
          <w:iCs/>
          <w:color w:val="2F5496" w:themeColor="accent5" w:themeShade="BF"/>
        </w:rPr>
        <w:t>(máximo de 200 palavras)</w:t>
      </w:r>
      <w:r>
        <w:t xml:space="preserve"> </w:t>
      </w:r>
    </w:p>
    <w:p w14:paraId="6B2BD57C" w14:textId="77777777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2/3 fotos das atividades realizadas:</w:t>
      </w:r>
    </w:p>
    <w:p w14:paraId="0BA9D390" w14:textId="7587898F" w:rsidR="003869FF" w:rsidRDefault="004A77A8">
      <w:pPr>
        <w:rPr>
          <w:rFonts w:asciiTheme="majorHAnsi" w:hAnsiTheme="majorHAnsi" w:cs="Times New Roman"/>
        </w:rPr>
      </w:pPr>
      <w:r>
        <w:rPr>
          <w:rFonts w:asciiTheme="majorHAnsi" w:hAnsiTheme="majorHAnsi"/>
        </w:rPr>
        <w:t>Quando o confi</w:t>
      </w:r>
      <w:r>
        <w:rPr>
          <w:rFonts w:asciiTheme="majorHAnsi" w:hAnsiTheme="majorHAnsi"/>
        </w:rPr>
        <w:t>namento começou, não havia nenhuma opção de trabalhar em casa. Era alto o risco de mover-se na estrada. A polícia verificou rigorosamente o passe para ver se havia movimento de pessoas. A equipe da CWCN começou a avaliar a necessidade dos beneficiários, co</w:t>
      </w:r>
      <w:r>
        <w:rPr>
          <w:rFonts w:asciiTheme="majorHAnsi" w:hAnsiTheme="majorHAnsi"/>
        </w:rPr>
        <w:t>letou dados diferentes e finalizou para apoiar os beneficiários de maneira diferente. Inicialmente, durante o confinamento, o suporte da CWCN lançou três programas diferentes; ex-beneficiários, apoio às comunidades das favelas e apoio ao governo local. For</w:t>
      </w:r>
      <w:r>
        <w:rPr>
          <w:rFonts w:asciiTheme="majorHAnsi" w:hAnsiTheme="majorHAnsi"/>
        </w:rPr>
        <w:t>necemos alimentação e apoio logístico aos ex-beneficiários durante o confinamento. A maioria deles trabalha com salário diário e perdeu o emprego durante o confinamento do país. A CWCN apoiou kits médicos para três comunidades das favelas diferentes nos di</w:t>
      </w:r>
      <w:r>
        <w:rPr>
          <w:rFonts w:asciiTheme="majorHAnsi" w:hAnsiTheme="majorHAnsi"/>
        </w:rPr>
        <w:t>stritos de Katmandu e Bhaktapur.</w:t>
      </w:r>
      <w:r>
        <w:rPr>
          <w:rFonts w:asciiTheme="majorHAnsi" w:hAnsiTheme="majorHAnsi"/>
        </w:rPr>
        <w:br/>
        <w:t xml:space="preserve"> Da mesma forma, a CWCN forneceu suporte de equipamento médico a 9 diferentes municípios/zonas rurais de distritos periféricos do vale de Katmandu. Como ferramentas de conscientização, adesivos e bombas foram distribuídos. </w:t>
      </w:r>
      <w:r>
        <w:rPr>
          <w:rFonts w:asciiTheme="majorHAnsi" w:hAnsiTheme="majorHAnsi"/>
        </w:rPr>
        <w:t>Quando o confinamento começou, as pessoas não faziam exercícios físicos e mentais sem fazer nada, muitas pessoas se tornaram vítimas de doenças mentais.</w:t>
      </w:r>
      <w:r>
        <w:rPr>
          <w:rFonts w:asciiTheme="majorHAnsi" w:hAnsiTheme="majorHAnsi"/>
        </w:rPr>
        <w:br/>
        <w:t xml:space="preserve"> A CWCN observou alta probabilidade de doença mental e necessidade de apoio de aconselhamento. Portanto</w:t>
      </w:r>
      <w:r>
        <w:rPr>
          <w:rFonts w:asciiTheme="majorHAnsi" w:hAnsiTheme="majorHAnsi"/>
        </w:rPr>
        <w:t>, foi providenciado apoio de aconselhamento. Da mesma forma, reuniões virtuais, beneficiários de apoio para seguro de Saúde/Corona foram outras atividades realizadas pela CWCN. O mais importante é que as crianças foram organizadas para ficar em casa, então</w:t>
      </w:r>
      <w:r>
        <w:rPr>
          <w:rFonts w:asciiTheme="majorHAnsi" w:hAnsiTheme="majorHAnsi"/>
        </w:rPr>
        <w:t xml:space="preserve"> fizemos com que elas participassem das atividades domésticas.</w:t>
      </w:r>
      <w:r>
        <w:rPr>
          <w:rFonts w:asciiTheme="majorHAnsi" w:hAnsiTheme="majorHAnsi"/>
        </w:rPr>
        <w:br/>
        <w:t xml:space="preserve"> Mais importante ainda, eles aprendem a produzir vegetais verdes em suas próprias terras. Então, podemos dizer que eles não puderam presenciar as aulas físicas na escola mesmo que tivessem um a</w:t>
      </w:r>
      <w:r>
        <w:rPr>
          <w:rFonts w:asciiTheme="majorHAnsi" w:hAnsiTheme="majorHAnsi"/>
        </w:rPr>
        <w:t>prendizado prático e da vida real em casa. Para reduzir a falta na educação escolar, as crianças aprendem em casa por meio da televisão. O cuidador também faz uma avaliação regular de sua educação. Desta forma, estamos trabalhando para apoiá-los a fim de o</w:t>
      </w:r>
      <w:r>
        <w:rPr>
          <w:rFonts w:asciiTheme="majorHAnsi" w:hAnsiTheme="majorHAnsi"/>
        </w:rPr>
        <w:t xml:space="preserve">bter uma melhor educação. </w:t>
      </w:r>
    </w:p>
    <w:p w14:paraId="0D25E2CE" w14:textId="77777777" w:rsidR="003869FF" w:rsidRDefault="003869FF">
      <w:pPr>
        <w:spacing w:after="0" w:line="240" w:lineRule="auto"/>
        <w:rPr>
          <w:rFonts w:asciiTheme="majorHAnsi" w:hAnsiTheme="majorHAnsi" w:cstheme="majorHAnsi"/>
          <w:noProof/>
        </w:rPr>
      </w:pPr>
    </w:p>
    <w:p w14:paraId="017AA1C0" w14:textId="77777777" w:rsidR="003869FF" w:rsidRDefault="004A77A8">
      <w:pPr>
        <w:spacing w:after="0" w:line="240" w:lineRule="auto"/>
        <w:rPr>
          <w:rFonts w:asciiTheme="majorHAnsi" w:hAnsiTheme="majorHAnsi" w:cstheme="majorHAnsi"/>
          <w:b/>
          <w:noProof/>
        </w:rPr>
      </w:pPr>
      <w:r>
        <w:rPr>
          <w:rFonts w:asciiTheme="majorHAnsi" w:hAnsiTheme="majorHAnsi" w:cstheme="majorHAnsi"/>
          <w:b/>
        </w:rPr>
        <w:t xml:space="preserve">Imagens </w:t>
      </w:r>
    </w:p>
    <w:p w14:paraId="589BFCF8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  <w:noProof/>
        </w:rPr>
      </w:pPr>
    </w:p>
    <w:p w14:paraId="7344951A" w14:textId="77777777" w:rsidR="003869FF" w:rsidRDefault="004A77A8">
      <w:pPr>
        <w:spacing w:after="0"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  <w:noProof/>
        </w:rPr>
        <w:drawing>
          <wp:inline distT="0" distB="0" distL="0" distR="0" wp14:anchorId="3BD1B1E5" wp14:editId="76A2757B">
            <wp:extent cx="2688722" cy="3371849"/>
            <wp:effectExtent l="0" t="0" r="0" b="635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02867956_269200900897302_3634781138423119872_n.jpg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2" t="3175" r="-653" b="2769"/>
                    <a:stretch/>
                  </pic:blipFill>
                  <pic:spPr bwMode="auto">
                    <a:xfrm>
                      <a:off x="0" y="0"/>
                      <a:ext cx="2692524" cy="33766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18F80A" w14:textId="77777777" w:rsidR="003869FF" w:rsidRDefault="003869FF">
      <w:pPr>
        <w:spacing w:after="0" w:line="240" w:lineRule="auto"/>
        <w:rPr>
          <w:rFonts w:asciiTheme="majorHAnsi" w:hAnsiTheme="majorHAnsi" w:cstheme="majorHAnsi"/>
        </w:rPr>
      </w:pPr>
    </w:p>
    <w:p w14:paraId="3DF05932" w14:textId="77777777" w:rsidR="003869FF" w:rsidRDefault="004A77A8">
      <w:pPr>
        <w:pStyle w:val="Paragrafoelenco"/>
        <w:numPr>
          <w:ilvl w:val="0"/>
          <w:numId w:val="13"/>
        </w:num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 xml:space="preserve">Crianças comemoraram o Dia Mundial do Meio Ambiente 2020. </w:t>
      </w:r>
    </w:p>
    <w:p w14:paraId="489AAA88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708CF54D" w14:textId="77777777" w:rsidR="003869FF" w:rsidRDefault="004A77A8">
      <w:pPr>
        <w:spacing w:after="0" w:line="240" w:lineRule="auto"/>
        <w:ind w:left="360"/>
        <w:rPr>
          <w:rFonts w:asciiTheme="majorHAnsi" w:hAnsiTheme="majorHAnsi" w:cstheme="majorHAnsi"/>
          <w:b/>
        </w:rPr>
      </w:pPr>
      <w:r>
        <w:rPr>
          <w:noProof/>
        </w:rPr>
        <w:drawing>
          <wp:inline distT="0" distB="0" distL="0" distR="0" wp14:anchorId="5181E0F9" wp14:editId="7EA0A2DE">
            <wp:extent cx="4429125" cy="3321844"/>
            <wp:effectExtent l="0" t="0" r="0" b="0"/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eceived_702075623730951.jpe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1526" cy="332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B7944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4F580DEE" w14:textId="77777777" w:rsidR="003869FF" w:rsidRDefault="004A77A8">
      <w:pPr>
        <w:pStyle w:val="Paragrafoelenco"/>
        <w:numPr>
          <w:ilvl w:val="0"/>
          <w:numId w:val="13"/>
        </w:num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 xml:space="preserve">Crianças no Ensino à Distância; aprendendo através da Televisão. </w:t>
      </w:r>
    </w:p>
    <w:p w14:paraId="001B3057" w14:textId="77777777" w:rsidR="003869FF" w:rsidRDefault="003869FF">
      <w:pPr>
        <w:pStyle w:val="Paragrafoelenco"/>
        <w:spacing w:after="0" w:line="240" w:lineRule="auto"/>
        <w:rPr>
          <w:rFonts w:asciiTheme="majorHAnsi" w:hAnsiTheme="majorHAnsi" w:cstheme="majorHAnsi"/>
          <w:b/>
        </w:rPr>
      </w:pPr>
    </w:p>
    <w:p w14:paraId="2E1A3B05" w14:textId="77777777" w:rsidR="003869FF" w:rsidRDefault="004A77A8">
      <w:pPr>
        <w:pStyle w:val="Paragrafoelenco"/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  <w:noProof/>
        </w:rPr>
        <w:drawing>
          <wp:inline distT="0" distB="0" distL="0" distR="0" wp14:anchorId="73952CDC" wp14:editId="3CE6EAD5">
            <wp:extent cx="4978400" cy="2800350"/>
            <wp:effectExtent l="0" t="0" r="0" b="0"/>
            <wp:docPr id="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0200520_142915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840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56F83F" w14:textId="77777777" w:rsidR="003869FF" w:rsidRDefault="003869FF">
      <w:pPr>
        <w:pStyle w:val="Paragrafoelenco"/>
        <w:spacing w:after="0" w:line="240" w:lineRule="auto"/>
        <w:rPr>
          <w:rFonts w:asciiTheme="majorHAnsi" w:hAnsiTheme="majorHAnsi" w:cstheme="majorHAnsi"/>
          <w:b/>
        </w:rPr>
      </w:pPr>
    </w:p>
    <w:p w14:paraId="067E716A" w14:textId="77777777" w:rsidR="003869FF" w:rsidRDefault="004A77A8">
      <w:pPr>
        <w:pStyle w:val="Paragrafoelenco"/>
        <w:numPr>
          <w:ilvl w:val="0"/>
          <w:numId w:val="13"/>
        </w:num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 xml:space="preserve">Apoio Médico na Comunidade das Favelas. </w:t>
      </w:r>
    </w:p>
    <w:p w14:paraId="1D5D8A7A" w14:textId="39850D4D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405C0309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6AC0F6FF" w14:textId="37F716D7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Perguntas: Nahuel perguntou sobre a situação psicossocial das crianças durante o confinamento. Lata disse que houve aumento da violência após e durante o confinamento, principalmente infantil.</w:t>
      </w:r>
      <w:r>
        <w:rPr>
          <w:rFonts w:asciiTheme="majorHAnsi" w:hAnsiTheme="majorHAnsi" w:cstheme="majorHAnsi"/>
          <w:b/>
        </w:rPr>
        <w:br/>
        <w:t xml:space="preserve"> Lata disse que houve um aumento no casamento infantil e no iní</w:t>
      </w:r>
      <w:r>
        <w:rPr>
          <w:rFonts w:asciiTheme="majorHAnsi" w:hAnsiTheme="majorHAnsi" w:cstheme="majorHAnsi"/>
          <w:b/>
        </w:rPr>
        <w:t>cio da gravidez.</w:t>
      </w:r>
    </w:p>
    <w:p w14:paraId="5EF03F6D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0112F166" w14:textId="35050AE2" w:rsidR="003869FF" w:rsidRDefault="004A77A8">
      <w:pPr>
        <w:spacing w:after="0" w:line="240" w:lineRule="auto"/>
        <w:jc w:val="center"/>
        <w:rPr>
          <w:rFonts w:asciiTheme="majorHAnsi" w:hAnsiTheme="majorHAnsi" w:cstheme="majorHAnsi"/>
          <w:b/>
          <w:sz w:val="28"/>
        </w:rPr>
      </w:pPr>
      <w:r>
        <w:rPr>
          <w:rFonts w:asciiTheme="majorHAnsi" w:hAnsiTheme="majorHAnsi" w:cstheme="majorHAnsi"/>
          <w:b/>
          <w:sz w:val="28"/>
        </w:rPr>
        <w:t>Movimento Social</w:t>
      </w:r>
    </w:p>
    <w:p w14:paraId="1D7F5958" w14:textId="77777777" w:rsidR="003869FF" w:rsidRDefault="003869FF">
      <w:pPr>
        <w:spacing w:after="0" w:line="240" w:lineRule="auto"/>
        <w:jc w:val="center"/>
        <w:rPr>
          <w:rFonts w:asciiTheme="majorHAnsi" w:hAnsiTheme="majorHAnsi" w:cstheme="majorHAnsi"/>
          <w:b/>
          <w:sz w:val="28"/>
        </w:rPr>
      </w:pPr>
    </w:p>
    <w:p w14:paraId="4EC397FE" w14:textId="77777777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Nome da(s) pessoa(s) que representa(m) a organização: Fouad Mansour, Roula Tannous</w:t>
      </w:r>
    </w:p>
    <w:p w14:paraId="40AABF1F" w14:textId="77777777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País: Líbano</w:t>
      </w:r>
    </w:p>
    <w:p w14:paraId="7172D104" w14:textId="77777777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Número de casos de COVID-19 no país: 38.377 casos, 0,8% da população</w:t>
      </w:r>
    </w:p>
    <w:p w14:paraId="5CC96E9A" w14:textId="77777777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361 mortes, 1% dos casos infectados</w:t>
      </w:r>
    </w:p>
    <w:p w14:paraId="36A4F65E" w14:textId="77777777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Média de 1.100 caso</w:t>
      </w:r>
      <w:r>
        <w:rPr>
          <w:rFonts w:asciiTheme="majorHAnsi" w:hAnsiTheme="majorHAnsi" w:cstheme="majorHAnsi"/>
          <w:b/>
        </w:rPr>
        <w:t>s por dia</w:t>
      </w:r>
    </w:p>
    <w:p w14:paraId="718C479E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2DA45F93" w14:textId="77777777" w:rsidR="003869FF" w:rsidRDefault="004A77A8">
      <w:pPr>
        <w:spacing w:after="0" w:line="240" w:lineRule="auto"/>
        <w:rPr>
          <w:rFonts w:asciiTheme="majorHAnsi" w:hAnsiTheme="majorHAnsi" w:cstheme="majorHAnsi"/>
          <w:i/>
          <w:iCs/>
          <w:color w:val="2F5496" w:themeColor="accent5" w:themeShade="BF"/>
        </w:rPr>
      </w:pPr>
      <w:r>
        <w:rPr>
          <w:rFonts w:asciiTheme="majorHAnsi" w:hAnsiTheme="majorHAnsi" w:cstheme="majorHAnsi"/>
          <w:b/>
        </w:rPr>
        <w:t xml:space="preserve">Contexto do país: </w:t>
      </w:r>
      <w:r>
        <w:rPr>
          <w:rFonts w:asciiTheme="majorHAnsi" w:hAnsiTheme="majorHAnsi" w:cstheme="majorHAnsi"/>
          <w:i/>
          <w:iCs/>
          <w:color w:val="2F5496" w:themeColor="accent5" w:themeShade="BF"/>
        </w:rPr>
        <w:t>(máximo de 200 palavras)</w:t>
      </w:r>
    </w:p>
    <w:p w14:paraId="15F368E4" w14:textId="77777777" w:rsidR="003869FF" w:rsidRDefault="003869FF">
      <w:pPr>
        <w:spacing w:after="0" w:line="240" w:lineRule="auto"/>
        <w:rPr>
          <w:rFonts w:asciiTheme="majorHAnsi" w:hAnsiTheme="majorHAnsi" w:cstheme="majorHAnsi"/>
          <w:i/>
          <w:iCs/>
          <w:color w:val="2F5496" w:themeColor="accent5" w:themeShade="BF"/>
        </w:rPr>
      </w:pPr>
    </w:p>
    <w:p w14:paraId="360BA82E" w14:textId="77777777" w:rsidR="003869FF" w:rsidRDefault="004A77A8">
      <w:pPr>
        <w:jc w:val="both"/>
        <w:rPr>
          <w:b/>
        </w:rPr>
      </w:pPr>
      <w:r>
        <w:rPr>
          <w:rFonts w:asciiTheme="majorHAnsi" w:hAnsiTheme="majorHAnsi" w:cstheme="majorHAnsi"/>
          <w:b/>
        </w:rPr>
        <w:t>Crise Econômica</w:t>
      </w:r>
    </w:p>
    <w:p w14:paraId="783FACC6" w14:textId="37EFB192" w:rsidR="003869FF" w:rsidRDefault="004A77A8">
      <w:pPr>
        <w:jc w:val="both"/>
        <w:rPr>
          <w:b/>
        </w:rPr>
      </w:pPr>
      <w:r>
        <w:t>A crise econômica teve um impacto crítico no mercado de trabalho, resultando na deterioração das condições de vida, afetando especialmente a população de refugiados da Síria e da Palest</w:t>
      </w:r>
      <w:r>
        <w:t>ina, bem como os vulneráveis libaneses. Para os trabalhadores "ocasionais" diários, tornou-se extremamente difícil encontrar oportunidades, enquanto para os funcionários fixos, muitas empresas estão pagando meio-salário por horas de trabalho em tempo integ</w:t>
      </w:r>
      <w:r>
        <w:t>ral... A impossibilidade de retirar dólares devido a um controle de capital não oficial, também causou um aumento dramático na taxa de câmbio entre a libra libanesa e o dólar americano nas casas de câmbio atingindo 10.000 LL em junho de 2020, em vez de 1.5</w:t>
      </w:r>
      <w:r>
        <w:t>00 como taxa oficial. Com a economia libanesa baseada neste vínculo, a consequência significou que as famílias compensaram a diferença, por exemplo, a maioria dos contratos de aluguel são fixados em USD. Além disso, o custo de produtos de necessidade diári</w:t>
      </w:r>
      <w:r>
        <w:t>a, como alimentos, itens de higiene, etc., aumentou cerca de 100%, causando considerável estresse e ansiedade, pois correm o risco de não conseguirem pagar as taxas escolares e os cuidados de saúde. A situação é agravada para os refugiados devido aos contí</w:t>
      </w:r>
      <w:r>
        <w:t>nuos desafios em torno da documentação civil e legal, com o aumento das medidas restritivas, especialmente no acesso ao trabalho, mas também na mobilidade (toque de recolher), aumentando ainda mais a vulnerabilidade dos refugiados e as tensões entre os ref</w:t>
      </w:r>
      <w:r>
        <w:t>ugiados e a comunidade de acolhimento</w:t>
      </w:r>
    </w:p>
    <w:p w14:paraId="3DD40D62" w14:textId="77777777" w:rsidR="003869FF" w:rsidRDefault="004A77A8">
      <w:pPr>
        <w:spacing w:after="0" w:line="240" w:lineRule="auto"/>
        <w:jc w:val="both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 xml:space="preserve">Explosão de Beirute </w:t>
      </w:r>
    </w:p>
    <w:p w14:paraId="0B124059" w14:textId="77777777" w:rsidR="003869FF" w:rsidRDefault="003869FF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563B3E58" w14:textId="77777777" w:rsidR="003869FF" w:rsidRDefault="004A77A8">
      <w:pPr>
        <w:pStyle w:val="speakable"/>
        <w:spacing w:before="0" w:beforeAutospacing="0" w:after="300" w:afterAutospacing="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A explosão em Beirute é considerada uma das </w:t>
      </w:r>
      <w:hyperlink r:id="rId31" w:tgtFrame="_blank" w:history="1">
        <w:r>
          <w:rPr>
            <w:rFonts w:asciiTheme="minorHAnsi" w:hAnsiTheme="minorHAnsi" w:cstheme="minorHAnsi"/>
            <w:sz w:val="22"/>
            <w:bdr w:val="none" w:sz="0" w:space="0" w:color="auto" w:frame="1"/>
          </w:rPr>
          <w:t>maiores explosões não nucleares</w:t>
        </w:r>
      </w:hyperlink>
      <w:r>
        <w:rPr>
          <w:rFonts w:asciiTheme="minorHAnsi" w:hAnsiTheme="minorHAnsi" w:cstheme="minorHAnsi"/>
          <w:sz w:val="22"/>
        </w:rPr>
        <w:t> da história. Pelo menos </w:t>
      </w:r>
      <w:hyperlink r:id="rId32" w:tgtFrame="_blank" w:history="1">
        <w:r>
          <w:rPr>
            <w:rStyle w:val="Collegamentoipertestuale"/>
            <w:rFonts w:asciiTheme="minorHAnsi" w:eastAsiaTheme="majorEastAsia" w:hAnsiTheme="minorHAnsi" w:cstheme="minorHAnsi"/>
            <w:color w:val="auto"/>
            <w:sz w:val="22"/>
            <w:u w:val="none"/>
            <w:bdr w:val="none" w:sz="0" w:space="0" w:color="auto" w:frame="1"/>
          </w:rPr>
          <w:t>220 pessoas morreram</w:t>
        </w:r>
      </w:hyperlink>
      <w:r>
        <w:rPr>
          <w:rFonts w:asciiTheme="minorHAnsi" w:hAnsiTheme="minorHAnsi" w:cstheme="minorHAnsi"/>
          <w:sz w:val="22"/>
        </w:rPr>
        <w:t>, mais de 6.000 ficaram feridas e mais de 100 continuam desaparecidas. Sete refugiados sírios estão desaparecidos, 124 foram feridos e </w:t>
      </w:r>
      <w:hyperlink r:id="rId33" w:tgtFrame="_blank" w:history="1">
        <w:r>
          <w:rPr>
            <w:rStyle w:val="Collegamentoipertestuale"/>
            <w:rFonts w:asciiTheme="minorHAnsi" w:eastAsiaTheme="majorEastAsia" w:hAnsiTheme="minorHAnsi" w:cstheme="minorHAnsi"/>
            <w:color w:val="auto"/>
            <w:sz w:val="22"/>
            <w:u w:val="none"/>
            <w:bdr w:val="none" w:sz="0" w:space="0" w:color="auto" w:frame="1"/>
          </w:rPr>
          <w:t>O ACNUR está tentando apurar</w:t>
        </w:r>
      </w:hyperlink>
      <w:r>
        <w:rPr>
          <w:rFonts w:asciiTheme="minorHAnsi" w:hAnsiTheme="minorHAnsi" w:cstheme="minorHAnsi"/>
          <w:sz w:val="22"/>
        </w:rPr>
        <w:t> relatos de 34 refugiados mortos. Os hospitais, que já estavam lidando com a crise do COVID-19, foram rapidamente inva</w:t>
      </w:r>
      <w:r>
        <w:rPr>
          <w:rFonts w:asciiTheme="minorHAnsi" w:hAnsiTheme="minorHAnsi" w:cstheme="minorHAnsi"/>
          <w:sz w:val="22"/>
        </w:rPr>
        <w:t xml:space="preserve">didos por casos. 4 hospitais foram destruídos na explosão e outros hospitais com dezenas de centros de saúde primários também foram danificados. Os pacientes foram enviados de Beirute para as comunidades vizinhas. </w:t>
      </w:r>
    </w:p>
    <w:p w14:paraId="39D38FA9" w14:textId="77777777" w:rsidR="003869FF" w:rsidRDefault="004A77A8">
      <w:pPr>
        <w:spacing w:after="0" w:line="240" w:lineRule="auto"/>
        <w:rPr>
          <w:rFonts w:asciiTheme="majorHAnsi" w:hAnsiTheme="majorHAnsi" w:cstheme="majorHAnsi"/>
          <w:i/>
          <w:iCs/>
          <w:color w:val="2F5496" w:themeColor="accent5" w:themeShade="BF"/>
        </w:rPr>
      </w:pPr>
      <w:r>
        <w:rPr>
          <w:rFonts w:asciiTheme="majorHAnsi" w:hAnsiTheme="majorHAnsi" w:cstheme="majorHAnsi"/>
          <w:b/>
        </w:rPr>
        <w:t>Atividades implementadas e planejadas pel</w:t>
      </w:r>
      <w:r>
        <w:rPr>
          <w:rFonts w:asciiTheme="majorHAnsi" w:hAnsiTheme="majorHAnsi" w:cstheme="majorHAnsi"/>
          <w:b/>
        </w:rPr>
        <w:t xml:space="preserve">a organização: </w:t>
      </w:r>
      <w:r>
        <w:rPr>
          <w:rFonts w:asciiTheme="majorHAnsi" w:hAnsiTheme="majorHAnsi" w:cstheme="majorHAnsi"/>
          <w:i/>
          <w:iCs/>
          <w:color w:val="2F5496" w:themeColor="accent5" w:themeShade="BF"/>
        </w:rPr>
        <w:t>(máximo de 200 palavras)</w:t>
      </w:r>
      <w:r>
        <w:t xml:space="preserve"> </w:t>
      </w:r>
    </w:p>
    <w:p w14:paraId="043B0A22" w14:textId="77777777" w:rsidR="003869FF" w:rsidRDefault="003869FF">
      <w:pPr>
        <w:spacing w:after="0" w:line="240" w:lineRule="auto"/>
        <w:rPr>
          <w:rFonts w:asciiTheme="majorHAnsi" w:hAnsiTheme="majorHAnsi" w:cstheme="majorHAnsi"/>
          <w:i/>
          <w:iCs/>
          <w:color w:val="2F5496" w:themeColor="accent5" w:themeShade="BF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3869FF" w14:paraId="310750F5" w14:textId="77777777">
        <w:tc>
          <w:tcPr>
            <w:tcW w:w="4531" w:type="dxa"/>
          </w:tcPr>
          <w:p w14:paraId="6800759E" w14:textId="77777777" w:rsidR="003869FF" w:rsidRDefault="004A77A8">
            <w:pPr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>Atividades Implementadas</w:t>
            </w:r>
          </w:p>
        </w:tc>
        <w:tc>
          <w:tcPr>
            <w:tcW w:w="4531" w:type="dxa"/>
          </w:tcPr>
          <w:p w14:paraId="74AD223C" w14:textId="77777777" w:rsidR="003869FF" w:rsidRDefault="004A77A8">
            <w:pPr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>Atividades Planejadas</w:t>
            </w:r>
          </w:p>
        </w:tc>
      </w:tr>
      <w:tr w:rsidR="003869FF" w14:paraId="2FF86DAE" w14:textId="77777777">
        <w:tc>
          <w:tcPr>
            <w:tcW w:w="4531" w:type="dxa"/>
          </w:tcPr>
          <w:p w14:paraId="00B995E8" w14:textId="77777777" w:rsidR="003869FF" w:rsidRDefault="004A77A8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Aprendizagem Remota no Centro Sin El Fil e Jnah</w:t>
            </w:r>
          </w:p>
          <w:p w14:paraId="6AB8A305" w14:textId="77777777" w:rsidR="003869FF" w:rsidRDefault="004A77A8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241 crianças</w:t>
            </w:r>
          </w:p>
        </w:tc>
        <w:tc>
          <w:tcPr>
            <w:tcW w:w="4531" w:type="dxa"/>
          </w:tcPr>
          <w:p w14:paraId="4852EA6F" w14:textId="77777777" w:rsidR="003869FF" w:rsidRDefault="004A77A8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Continuação do aprendizado remoto no Centro Sin El Fil e Jnah</w:t>
            </w:r>
          </w:p>
        </w:tc>
      </w:tr>
      <w:tr w:rsidR="003869FF" w14:paraId="07A195D1" w14:textId="77777777">
        <w:tc>
          <w:tcPr>
            <w:tcW w:w="4531" w:type="dxa"/>
          </w:tcPr>
          <w:p w14:paraId="68947F61" w14:textId="77777777" w:rsidR="003869FF" w:rsidRDefault="004A77A8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Conscientização da responsabilidade social</w:t>
            </w:r>
            <w:r>
              <w:rPr>
                <w:rFonts w:asciiTheme="majorHAnsi" w:hAnsiTheme="majorHAnsi" w:cstheme="majorHAnsi"/>
              </w:rPr>
              <w:t xml:space="preserve"> e prevenção da COVID 19 para cuidadores e crianças</w:t>
            </w:r>
          </w:p>
        </w:tc>
        <w:tc>
          <w:tcPr>
            <w:tcW w:w="4531" w:type="dxa"/>
          </w:tcPr>
          <w:p w14:paraId="23E79DE8" w14:textId="77777777" w:rsidR="003869FF" w:rsidRDefault="004A77A8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Continuação da conscientização da responsabilidade social e prevenção da COVID 19 para cuidadores e crianças</w:t>
            </w:r>
          </w:p>
        </w:tc>
      </w:tr>
      <w:tr w:rsidR="003869FF" w14:paraId="7F96585D" w14:textId="77777777">
        <w:tc>
          <w:tcPr>
            <w:tcW w:w="4531" w:type="dxa"/>
          </w:tcPr>
          <w:p w14:paraId="5CFD1FCE" w14:textId="77777777" w:rsidR="003869FF" w:rsidRDefault="004A77A8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PSS remoto, habilidades de vida e sessões de inspiração para crianças e cuidadores</w:t>
            </w:r>
          </w:p>
        </w:tc>
        <w:tc>
          <w:tcPr>
            <w:tcW w:w="4531" w:type="dxa"/>
          </w:tcPr>
          <w:p w14:paraId="75BA1A78" w14:textId="77777777" w:rsidR="003869FF" w:rsidRDefault="004A77A8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Continuando</w:t>
            </w:r>
            <w:r>
              <w:rPr>
                <w:rFonts w:asciiTheme="majorHAnsi" w:hAnsiTheme="majorHAnsi" w:cstheme="majorHAnsi"/>
              </w:rPr>
              <w:t xml:space="preserve"> PSS remoto, habilidades de vida e sessões de inspiração para crianças e cuidadores</w:t>
            </w:r>
          </w:p>
        </w:tc>
      </w:tr>
      <w:tr w:rsidR="003869FF" w14:paraId="2810705B" w14:textId="77777777">
        <w:tc>
          <w:tcPr>
            <w:tcW w:w="4531" w:type="dxa"/>
            <w:vMerge w:val="restart"/>
          </w:tcPr>
          <w:p w14:paraId="45C8E1D8" w14:textId="77777777" w:rsidR="003869FF" w:rsidRDefault="004A77A8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lastRenderedPageBreak/>
              <w:t>Assistência condicional em dinheiro (alimentação e higiene) para 229 famílias em Sin El Fil e Jnah</w:t>
            </w:r>
          </w:p>
        </w:tc>
        <w:tc>
          <w:tcPr>
            <w:tcW w:w="4531" w:type="dxa"/>
          </w:tcPr>
          <w:p w14:paraId="468CF143" w14:textId="77777777" w:rsidR="003869FF" w:rsidRDefault="004A77A8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Bolsa de estudos para 560 crianças em Sin El Fil e Jnah</w:t>
            </w:r>
          </w:p>
        </w:tc>
      </w:tr>
      <w:tr w:rsidR="003869FF" w14:paraId="438DEF45" w14:textId="77777777">
        <w:tc>
          <w:tcPr>
            <w:tcW w:w="4531" w:type="dxa"/>
            <w:vMerge/>
          </w:tcPr>
          <w:p w14:paraId="19B324CF" w14:textId="77777777" w:rsidR="003869FF" w:rsidRDefault="003869FF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4531" w:type="dxa"/>
          </w:tcPr>
          <w:p w14:paraId="0897D333" w14:textId="77777777" w:rsidR="003869FF" w:rsidRDefault="004A77A8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Atividades do PSS para 425 famílias afetadas pela explosão em Beirute em Sin El Fil, Jnah e Bourj Hammoud</w:t>
            </w:r>
          </w:p>
        </w:tc>
      </w:tr>
      <w:tr w:rsidR="003869FF" w14:paraId="1C65340B" w14:textId="77777777">
        <w:tc>
          <w:tcPr>
            <w:tcW w:w="4531" w:type="dxa"/>
            <w:vMerge/>
          </w:tcPr>
          <w:p w14:paraId="3720F632" w14:textId="77777777" w:rsidR="003869FF" w:rsidRDefault="003869FF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4531" w:type="dxa"/>
          </w:tcPr>
          <w:p w14:paraId="0691A4A0" w14:textId="77777777" w:rsidR="003869FF" w:rsidRDefault="004A77A8">
            <w:pPr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Renovação de 2 centros, Sin El Fil e Bourj Hammoud</w:t>
            </w:r>
          </w:p>
        </w:tc>
      </w:tr>
    </w:tbl>
    <w:p w14:paraId="718A3A06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5EE0E294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74611EE8" w14:textId="77777777" w:rsidR="003869FF" w:rsidRDefault="003869FF">
      <w:pPr>
        <w:spacing w:after="0" w:line="240" w:lineRule="auto"/>
        <w:rPr>
          <w:rFonts w:asciiTheme="majorHAnsi" w:hAnsiTheme="majorHAnsi" w:cstheme="majorHAnsi"/>
          <w:b/>
        </w:rPr>
      </w:pPr>
    </w:p>
    <w:p w14:paraId="4CEB8DA3" w14:textId="77777777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2/3 fotos das atividades realizadas:</w:t>
      </w:r>
    </w:p>
    <w:p w14:paraId="03A57AAA" w14:textId="77777777" w:rsidR="003869FF" w:rsidRDefault="003869FF">
      <w:pPr>
        <w:spacing w:after="0" w:line="240" w:lineRule="auto"/>
        <w:rPr>
          <w:rFonts w:asciiTheme="majorHAnsi" w:hAnsiTheme="majorHAnsi" w:cstheme="majorHAnsi"/>
        </w:rPr>
      </w:pPr>
    </w:p>
    <w:p w14:paraId="7E5F7411" w14:textId="77777777" w:rsidR="003869FF" w:rsidRDefault="004A77A8">
      <w:pPr>
        <w:keepNext/>
        <w:spacing w:after="0" w:line="240" w:lineRule="auto"/>
      </w:pPr>
      <w:r>
        <w:rPr>
          <w:rFonts w:asciiTheme="majorHAnsi" w:hAnsiTheme="majorHAnsi" w:cstheme="majorHAnsi"/>
          <w:noProof/>
          <w:sz w:val="24"/>
        </w:rPr>
        <w:drawing>
          <wp:inline distT="0" distB="0" distL="0" distR="0" wp14:anchorId="2C7DC96F" wp14:editId="70A56297">
            <wp:extent cx="2787650" cy="2580752"/>
            <wp:effectExtent l="0" t="0" r="0" b="0"/>
            <wp:docPr id="8" name="Picture 3" descr="C:\Users\User\Desktop\Partenaires\Partage parrainage\Journalistes Echos du Liban\Joanna en lig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Partenaires\Partage parrainage\Journalistes Echos du Liban\Joanna en ligne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880" cy="2593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b/>
          <w:noProof/>
        </w:rPr>
        <w:drawing>
          <wp:inline distT="0" distB="0" distL="0" distR="0" wp14:anchorId="13C42EB3" wp14:editId="6840359C">
            <wp:extent cx="2760988" cy="2564130"/>
            <wp:effectExtent l="0" t="0" r="1270" b="7620"/>
            <wp:docPr id="9" name="Picture 1" descr="C:\Users\User\Desktop\Explosion Beyrouth\Photos de dégâts de SEF 2020\20200807095248_IMG_9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Explosion Beyrouth\Photos de dégâts de SEF 2020\20200807095248_IMG_9851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367" cy="2588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F4A5BD" w14:textId="75BA9FF6" w:rsidR="003869FF" w:rsidRDefault="004A77A8">
      <w:pPr>
        <w:pStyle w:val="Didascalia"/>
      </w:pPr>
      <w:r>
        <w:t xml:space="preserve">Figura </w:t>
      </w:r>
      <w:r>
        <w:fldChar w:fldCharType="begin"/>
      </w:r>
      <w:r w:rsidRPr="00AA6BFC">
        <w:rPr>
          <w:lang w:val="en-US"/>
        </w:rPr>
        <w:instrText xml:space="preserve"> SEQ Figure \* ARABIC </w:instrText>
      </w:r>
      <w:r>
        <w:fldChar w:fldCharType="separate"/>
      </w:r>
      <w:r w:rsidRPr="00AA6BFC">
        <w:rPr>
          <w:noProof/>
          <w:lang w:val="en-US"/>
        </w:rPr>
        <w:t>1</w:t>
      </w:r>
      <w:r>
        <w:rPr>
          <w:noProof/>
        </w:rPr>
        <w:fldChar w:fldCharType="end"/>
      </w:r>
      <w:r>
        <w:t xml:space="preserve"> Aprendizagem Remota </w:t>
      </w:r>
      <w:r>
        <w:tab/>
      </w:r>
      <w:r>
        <w:tab/>
      </w:r>
      <w:r>
        <w:tab/>
      </w:r>
      <w:r>
        <w:tab/>
        <w:t xml:space="preserve"> Explosão de Beirute, Centro Sin El Fil</w:t>
      </w:r>
    </w:p>
    <w:p w14:paraId="7A871D59" w14:textId="77777777" w:rsidR="003869FF" w:rsidRDefault="003869FF">
      <w:pPr>
        <w:spacing w:after="0" w:line="240" w:lineRule="auto"/>
        <w:rPr>
          <w:rFonts w:asciiTheme="majorHAnsi" w:hAnsiTheme="majorHAnsi" w:cstheme="majorHAnsi"/>
          <w:sz w:val="24"/>
        </w:rPr>
      </w:pPr>
    </w:p>
    <w:p w14:paraId="1264056C" w14:textId="65227708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Perguntas: Nahuel pediu para saber mais sobre as atividades de aprendizagem remota e como elas foram realizadas. Fouad e Roula explicaram suas atividades “combinadas” entre ensino remoto (po</w:t>
      </w:r>
      <w:r>
        <w:rPr>
          <w:rFonts w:asciiTheme="majorHAnsi" w:hAnsiTheme="majorHAnsi" w:cstheme="majorHAnsi"/>
          <w:b/>
        </w:rPr>
        <w:t>r meio de impressão de material feito pelo MSL, combinado com atividades remotas ativas (como vídeos do youtube e jogos) quanto presenciais.</w:t>
      </w:r>
    </w:p>
    <w:p w14:paraId="763D4E09" w14:textId="2516B4D0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Colin explicou que foi uma das primeiras vezes que este tipo de intercâmbio estava sendo realizado, neste caso entr</w:t>
      </w:r>
      <w:r>
        <w:rPr>
          <w:rFonts w:asciiTheme="majorHAnsi" w:hAnsiTheme="majorHAnsi" w:cstheme="majorHAnsi"/>
          <w:b/>
        </w:rPr>
        <w:t>e parceiros no Líbano e na Ásia, ele perguntou aos parceiros o que eles achavam sobre isso e, por exemplo, se os parceiros na Ásia estavam cientes do situação do Líbano.</w:t>
      </w:r>
      <w:r>
        <w:rPr>
          <w:rFonts w:asciiTheme="majorHAnsi" w:hAnsiTheme="majorHAnsi" w:cstheme="majorHAnsi"/>
          <w:b/>
        </w:rPr>
        <w:br/>
        <w:t>Alex do CPDC disse que foi uma boa experiência, que ouviram falar da explosão em Beiru</w:t>
      </w:r>
      <w:r>
        <w:rPr>
          <w:rFonts w:asciiTheme="majorHAnsi" w:hAnsiTheme="majorHAnsi" w:cstheme="majorHAnsi"/>
          <w:b/>
        </w:rPr>
        <w:t>te mas não sabiam das implicações, e que conheceram o programa do Movimento Social, visto que adaptaram as suas atividades, “aprendemos com vocês, nossos pensamentos estão com você ”.</w:t>
      </w:r>
    </w:p>
    <w:p w14:paraId="73234446" w14:textId="0D5E534E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Lata da CWCN, disse que foi uma experiência interessante ver outro conte</w:t>
      </w:r>
      <w:r>
        <w:rPr>
          <w:rFonts w:asciiTheme="majorHAnsi" w:hAnsiTheme="majorHAnsi" w:cstheme="majorHAnsi"/>
          <w:b/>
        </w:rPr>
        <w:t>xto e que ela estava interessada em continuar a experiência.</w:t>
      </w:r>
    </w:p>
    <w:p w14:paraId="76AE9C44" w14:textId="20D00A9D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Mick disse que eles sabiam sobre a explosão, mas não tanto sobre as consequências e a crise do Líbano.</w:t>
      </w:r>
    </w:p>
    <w:p w14:paraId="792A7793" w14:textId="0AEA3008" w:rsidR="003869FF" w:rsidRDefault="004A77A8">
      <w:pPr>
        <w:spacing w:after="0"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Roula agradeceu a todos pela empatia, e disse que foi a primeira vez que ouviu mais sobre a situação no Nepal e na Tailândia, visto que em alguns lugares</w:t>
      </w:r>
      <w:r>
        <w:rPr>
          <w:rFonts w:asciiTheme="majorHAnsi" w:hAnsiTheme="majorHAnsi" w:cstheme="majorHAnsi"/>
          <w:b/>
        </w:rPr>
        <w:t xml:space="preserve"> as crianças voltaram às aulas, enquanto no Líbano as crianças ficaram 10 meses fora da escola.</w:t>
      </w:r>
    </w:p>
    <w:sectPr w:rsidR="003869FF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1417" w:right="1417" w:bottom="1417" w:left="1417" w:header="708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87D4E3" w14:textId="77777777" w:rsidR="004A77A8" w:rsidRDefault="004A77A8">
      <w:pPr>
        <w:spacing w:after="0" w:line="240" w:lineRule="auto"/>
      </w:pPr>
      <w:r>
        <w:separator/>
      </w:r>
    </w:p>
  </w:endnote>
  <w:endnote w:type="continuationSeparator" w:id="0">
    <w:p w14:paraId="567876C3" w14:textId="77777777" w:rsidR="004A77A8" w:rsidRDefault="004A77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altName w:val="Cordia New"/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88085D" w14:textId="77777777" w:rsidR="00A27A47" w:rsidRDefault="00A27A4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481629334"/>
      <w:docPartObj>
        <w:docPartGallery w:val="Page Numbers (Bottom of Page)"/>
        <w:docPartUnique/>
      </w:docPartObj>
    </w:sdtPr>
    <w:sdtEndPr/>
    <w:sdtContent>
      <w:p w14:paraId="4FA89DE9" w14:textId="0555D417" w:rsidR="003869FF" w:rsidRDefault="004A77A8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76D23">
          <w:rPr>
            <w:noProof/>
          </w:rPr>
          <w:t>10</w:t>
        </w:r>
        <w:r>
          <w:fldChar w:fldCharType="end"/>
        </w:r>
      </w:p>
    </w:sdtContent>
  </w:sdt>
  <w:p w14:paraId="12BEE517" w14:textId="77777777" w:rsidR="003869FF" w:rsidRDefault="003869FF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20493F" w14:textId="77777777" w:rsidR="00A27A47" w:rsidRDefault="00A27A4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516FB2" w14:textId="77777777" w:rsidR="004A77A8" w:rsidRDefault="004A77A8">
      <w:pPr>
        <w:spacing w:after="0" w:line="240" w:lineRule="auto"/>
      </w:pPr>
      <w:r>
        <w:separator/>
      </w:r>
    </w:p>
  </w:footnote>
  <w:footnote w:type="continuationSeparator" w:id="0">
    <w:p w14:paraId="43B39906" w14:textId="77777777" w:rsidR="004A77A8" w:rsidRDefault="004A77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C7CAF5" w14:textId="77777777" w:rsidR="00A27A47" w:rsidRDefault="00A27A47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B3CF7A" w14:textId="77777777" w:rsidR="00A27A47" w:rsidRDefault="00A27A47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275E6B" w14:textId="77777777" w:rsidR="00A27A47" w:rsidRDefault="00A27A4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A067E6"/>
    <w:multiLevelType w:val="hybridMultilevel"/>
    <w:tmpl w:val="8272ACE0"/>
    <w:lvl w:ilvl="0" w:tplc="4E0EC566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67166A"/>
    <w:multiLevelType w:val="hybridMultilevel"/>
    <w:tmpl w:val="08642CDE"/>
    <w:lvl w:ilvl="0" w:tplc="793ECDD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8F3D9F"/>
    <w:multiLevelType w:val="hybridMultilevel"/>
    <w:tmpl w:val="ED4039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6E5192"/>
    <w:multiLevelType w:val="hybridMultilevel"/>
    <w:tmpl w:val="5590D448"/>
    <w:lvl w:ilvl="0" w:tplc="6234F128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896C2D"/>
    <w:multiLevelType w:val="hybridMultilevel"/>
    <w:tmpl w:val="5D5C1BAA"/>
    <w:lvl w:ilvl="0" w:tplc="53C4EF70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2E74C9"/>
    <w:multiLevelType w:val="hybridMultilevel"/>
    <w:tmpl w:val="17440836"/>
    <w:lvl w:ilvl="0" w:tplc="4E0EC566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9D4F3D"/>
    <w:multiLevelType w:val="hybridMultilevel"/>
    <w:tmpl w:val="3E664F3A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7" w15:restartNumberingAfterBreak="0">
    <w:nsid w:val="4B2805D3"/>
    <w:multiLevelType w:val="hybridMultilevel"/>
    <w:tmpl w:val="804A27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5BD72FA"/>
    <w:multiLevelType w:val="hybridMultilevel"/>
    <w:tmpl w:val="3F54FB52"/>
    <w:lvl w:ilvl="0" w:tplc="6234F128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56011EC9"/>
    <w:multiLevelType w:val="hybridMultilevel"/>
    <w:tmpl w:val="8B42E2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505CF1"/>
    <w:multiLevelType w:val="hybridMultilevel"/>
    <w:tmpl w:val="3A2C187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83C82600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C09723F"/>
    <w:multiLevelType w:val="hybridMultilevel"/>
    <w:tmpl w:val="665AE184"/>
    <w:lvl w:ilvl="0" w:tplc="793ECDD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776DAF"/>
    <w:multiLevelType w:val="hybridMultilevel"/>
    <w:tmpl w:val="4B0A12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8"/>
  </w:num>
  <w:num w:numId="7">
    <w:abstractNumId w:val="9"/>
  </w:num>
  <w:num w:numId="8">
    <w:abstractNumId w:val="4"/>
  </w:num>
  <w:num w:numId="9">
    <w:abstractNumId w:val="12"/>
  </w:num>
  <w:num w:numId="10">
    <w:abstractNumId w:val="11"/>
  </w:num>
  <w:num w:numId="11">
    <w:abstractNumId w:val="1"/>
  </w:num>
  <w:num w:numId="12">
    <w:abstractNumId w:val="6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6E2E"/>
    <w:rsid w:val="000514C5"/>
    <w:rsid w:val="00076D23"/>
    <w:rsid w:val="000B66F3"/>
    <w:rsid w:val="000C5B57"/>
    <w:rsid w:val="000E106F"/>
    <w:rsid w:val="00103F0E"/>
    <w:rsid w:val="00156049"/>
    <w:rsid w:val="00175661"/>
    <w:rsid w:val="00195435"/>
    <w:rsid w:val="001E3C3B"/>
    <w:rsid w:val="002542C7"/>
    <w:rsid w:val="002561DD"/>
    <w:rsid w:val="002628E1"/>
    <w:rsid w:val="00314971"/>
    <w:rsid w:val="00365552"/>
    <w:rsid w:val="0038492C"/>
    <w:rsid w:val="003869FF"/>
    <w:rsid w:val="003A1F04"/>
    <w:rsid w:val="00466D15"/>
    <w:rsid w:val="00476831"/>
    <w:rsid w:val="004868F6"/>
    <w:rsid w:val="004A77A8"/>
    <w:rsid w:val="004D7C81"/>
    <w:rsid w:val="004E1F5D"/>
    <w:rsid w:val="00506AB7"/>
    <w:rsid w:val="00540DD1"/>
    <w:rsid w:val="005E307A"/>
    <w:rsid w:val="005F56DB"/>
    <w:rsid w:val="00632A23"/>
    <w:rsid w:val="00691258"/>
    <w:rsid w:val="006C64DE"/>
    <w:rsid w:val="006D4540"/>
    <w:rsid w:val="00705947"/>
    <w:rsid w:val="00706469"/>
    <w:rsid w:val="0073047E"/>
    <w:rsid w:val="00740547"/>
    <w:rsid w:val="00744803"/>
    <w:rsid w:val="007526A2"/>
    <w:rsid w:val="007F38AB"/>
    <w:rsid w:val="0082239C"/>
    <w:rsid w:val="008428A7"/>
    <w:rsid w:val="008B033B"/>
    <w:rsid w:val="008D67C7"/>
    <w:rsid w:val="008F3736"/>
    <w:rsid w:val="009320D9"/>
    <w:rsid w:val="00932170"/>
    <w:rsid w:val="00964934"/>
    <w:rsid w:val="00A27A47"/>
    <w:rsid w:val="00A5013C"/>
    <w:rsid w:val="00A647A5"/>
    <w:rsid w:val="00A86E2E"/>
    <w:rsid w:val="00AF05D7"/>
    <w:rsid w:val="00AF3B2E"/>
    <w:rsid w:val="00AF653B"/>
    <w:rsid w:val="00B1122C"/>
    <w:rsid w:val="00B76A3E"/>
    <w:rsid w:val="00BD7EDF"/>
    <w:rsid w:val="00BE0E45"/>
    <w:rsid w:val="00BF171E"/>
    <w:rsid w:val="00BF34B5"/>
    <w:rsid w:val="00C40D93"/>
    <w:rsid w:val="00C5078E"/>
    <w:rsid w:val="00C70413"/>
    <w:rsid w:val="00C76A03"/>
    <w:rsid w:val="00C8109E"/>
    <w:rsid w:val="00C84564"/>
    <w:rsid w:val="00D0117F"/>
    <w:rsid w:val="00D2732D"/>
    <w:rsid w:val="00D56967"/>
    <w:rsid w:val="00E146D4"/>
    <w:rsid w:val="00E433B5"/>
    <w:rsid w:val="00E46487"/>
    <w:rsid w:val="00E7688B"/>
    <w:rsid w:val="00E77EE0"/>
    <w:rsid w:val="00EF5B24"/>
    <w:rsid w:val="00F3663E"/>
    <w:rsid w:val="00F45B84"/>
    <w:rsid w:val="00F76EAB"/>
    <w:rsid w:val="00FB68AA"/>
    <w:rsid w:val="00FC27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B341C5"/>
  <w15:docId w15:val="{A25C66B2-9A73-48A3-9F35-4F0D6966D5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86E2E"/>
    <w:rPr>
      <w:color w:val="0563C1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8F3736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103F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03F0E"/>
  </w:style>
  <w:style w:type="paragraph" w:styleId="Pidipagina">
    <w:name w:val="footer"/>
    <w:basedOn w:val="Normale"/>
    <w:link w:val="PidipaginaCarattere"/>
    <w:uiPriority w:val="99"/>
    <w:unhideWhenUsed/>
    <w:rsid w:val="00103F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03F0E"/>
  </w:style>
  <w:style w:type="paragraph" w:styleId="Nessunaspaziatura">
    <w:name w:val="No Spacing"/>
    <w:uiPriority w:val="1"/>
    <w:qFormat/>
    <w:rsid w:val="008D67C7"/>
    <w:pPr>
      <w:spacing w:after="0" w:line="240" w:lineRule="auto"/>
    </w:pPr>
  </w:style>
  <w:style w:type="paragraph" w:styleId="NormaleWeb">
    <w:name w:val="Normal (Web)"/>
    <w:basedOn w:val="Normale"/>
    <w:uiPriority w:val="99"/>
    <w:unhideWhenUsed/>
    <w:rsid w:val="008D67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t-BR"/>
    </w:rPr>
  </w:style>
  <w:style w:type="character" w:customStyle="1" w:styleId="normaltextrun">
    <w:name w:val="normaltextrun"/>
    <w:basedOn w:val="Carpredefinitoparagrafo"/>
    <w:rsid w:val="008D67C7"/>
  </w:style>
  <w:style w:type="paragraph" w:customStyle="1" w:styleId="speakable">
    <w:name w:val="speakable"/>
    <w:basedOn w:val="Normale"/>
    <w:rsid w:val="008D67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t-BR"/>
    </w:rPr>
  </w:style>
  <w:style w:type="table" w:styleId="Grigliatabella">
    <w:name w:val="Table Grid"/>
    <w:basedOn w:val="Tabellanormale"/>
    <w:uiPriority w:val="39"/>
    <w:rsid w:val="008D67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idascalia">
    <w:name w:val="caption"/>
    <w:basedOn w:val="Normale"/>
    <w:next w:val="Normale"/>
    <w:uiPriority w:val="35"/>
    <w:unhideWhenUsed/>
    <w:qFormat/>
    <w:rsid w:val="008D67C7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hyperlink" Target="https://th.wikipedia.org/wiki/%E0%B8%9B%E0%B8%A3%E0%B8%B0%E0%B9%80%E0%B8%97%E0%B8%A8%E0%B9%84%E0%B8%97%E0%B8%A2" TargetMode="External"/><Relationship Id="rId26" Type="http://schemas.openxmlformats.org/officeDocument/2006/relationships/image" Target="media/image7.jpeg"/><Relationship Id="rId39" Type="http://schemas.openxmlformats.org/officeDocument/2006/relationships/footer" Target="footer2.xml"/><Relationship Id="rId21" Type="http://schemas.openxmlformats.org/officeDocument/2006/relationships/hyperlink" Target="https://th.wikipedia.org/wiki/%E0%B8%81%E0%B8%A3%E0%B8%B8%E0%B8%87%E0%B9%80%E0%B8%97%E0%B8%9E%E0%B8%A1%E0%B8%AB%E0%B8%B2%E0%B8%99%E0%B8%84%E0%B8%A3" TargetMode="External"/><Relationship Id="rId34" Type="http://schemas.openxmlformats.org/officeDocument/2006/relationships/image" Target="media/image12.jpeg"/><Relationship Id="rId42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th.wikipedia.org/wiki/%E0%B8%81%E0%B8%B2%E0%B8%A3%E0%B8%97%E0%B8%B3%E0%B9%81%E0%B8%97%E0%B9%89%E0%B8%87" TargetMode="External"/><Relationship Id="rId20" Type="http://schemas.openxmlformats.org/officeDocument/2006/relationships/hyperlink" Target="https://th.wikipedia.org/wiki/%E0%B8%9B%E0%B8%A3%E0%B8%B0%E0%B8%8A%E0%B8%B2%E0%B8%81%E0%B8%A3" TargetMode="External"/><Relationship Id="rId29" Type="http://schemas.openxmlformats.org/officeDocument/2006/relationships/image" Target="media/image10.jpeg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yperlink" Target="https://th.wikipedia.org/wiki/%E0%B8%81%E0%B8%B2%E0%B8%A3%E0%B8%9B%E0%B8%A3%E0%B8%B0%E0%B8%A1%E0%B8%87" TargetMode="External"/><Relationship Id="rId32" Type="http://schemas.openxmlformats.org/officeDocument/2006/relationships/hyperlink" Target="https://www.nature.com/articles/d41586-020-02361-x" TargetMode="External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yperlink" Target="https://th.wikipedia.org/wiki/%E0%B8%A2%E0%B8%B2%E0%B8%87%E0%B8%9E%E0%B8%B2%E0%B8%A3%E0%B8%B2" TargetMode="External"/><Relationship Id="rId28" Type="http://schemas.openxmlformats.org/officeDocument/2006/relationships/image" Target="media/image9.jpg"/><Relationship Id="rId36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hyperlink" Target="https://th.wikipedia.org/wiki/%E0%B8%9B%E0%B8%A3%E0%B8%B0%E0%B8%8A%E0%B8%B2%E0%B8%81%E0%B8%A3" TargetMode="External"/><Relationship Id="rId31" Type="http://schemas.openxmlformats.org/officeDocument/2006/relationships/hyperlink" Target="https://www.standard.co.uk/news/world/beirut-explosion-one-of-largest-blasts-history-a4517646.html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yperlink" Target="https://th.wikipedia.org/wiki/%E0%B9%80%E0%B8%A8%E0%B8%A3%E0%B8%A9%E0%B8%90%E0%B8%81%E0%B8%B4%E0%B8%88" TargetMode="External"/><Relationship Id="rId27" Type="http://schemas.openxmlformats.org/officeDocument/2006/relationships/image" Target="media/image8.jpeg"/><Relationship Id="rId30" Type="http://schemas.openxmlformats.org/officeDocument/2006/relationships/image" Target="media/image11.jpeg"/><Relationship Id="rId35" Type="http://schemas.openxmlformats.org/officeDocument/2006/relationships/image" Target="media/image13.jpeg"/><Relationship Id="rId43" Type="http://schemas.openxmlformats.org/officeDocument/2006/relationships/theme" Target="theme/theme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hyperlink" Target="https://th.wikipedia.org/wiki/%E0%B8%88%E0%B8%B1%E0%B8%87%E0%B8%AB%E0%B8%A7%E0%B8%B1%E0%B8%94" TargetMode="External"/><Relationship Id="rId25" Type="http://schemas.openxmlformats.org/officeDocument/2006/relationships/image" Target="media/image6.jpeg"/><Relationship Id="rId33" Type="http://schemas.openxmlformats.org/officeDocument/2006/relationships/hyperlink" Target="https://www.aljazeera.com/news/2020/08/unhcr-reports-34-refugees-killed-beirut-blast-200811150138657.html" TargetMode="External"/><Relationship Id="rId3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DE7D5F4C5F54841A739FA36E208D600" ma:contentTypeVersion="13" ma:contentTypeDescription="Crée un document." ma:contentTypeScope="" ma:versionID="a639d505f9ff99670be48f53512cbacb">
  <xsd:schema xmlns:xsd="http://www.w3.org/2001/XMLSchema" xmlns:xs="http://www.w3.org/2001/XMLSchema" xmlns:p="http://schemas.microsoft.com/office/2006/metadata/properties" xmlns:ns2="049611dc-f4e0-4b18-9df5-a2e2790cc77a" xmlns:ns3="bacc1d3e-f4d5-4571-ac80-c4f8e72f48f7" targetNamespace="http://schemas.microsoft.com/office/2006/metadata/properties" ma:root="true" ma:fieldsID="1fcf154da60b2687fdeb3b4b5f0b9364" ns2:_="" ns3:_="">
    <xsd:import namespace="049611dc-f4e0-4b18-9df5-a2e2790cc77a"/>
    <xsd:import namespace="bacc1d3e-f4d5-4571-ac80-c4f8e72f48f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49611dc-f4e0-4b18-9df5-a2e2790cc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cc1d3e-f4d5-4571-ac80-c4f8e72f48f7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CBB9E1-AEE7-40A2-8978-D9BA92F98D3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15CF993-4F68-4EAD-98DF-1D4817F9E8C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B2F5598-3FF7-4B3E-9B07-947EFFFA2149}"/>
</file>

<file path=customXml/itemProps4.xml><?xml version="1.0" encoding="utf-8"?>
<ds:datastoreItem xmlns:ds="http://schemas.openxmlformats.org/officeDocument/2006/customXml" ds:itemID="{3510041B-BFF8-4562-AF97-C68ED66AB0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3274</Words>
  <Characters>18662</Characters>
  <Application>Microsoft Office Word</Application>
  <DocSecurity>0</DocSecurity>
  <Lines>155</Lines>
  <Paragraphs>43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Nahuel Dumenil</dc:creator>
  <cp:keywords/>
  <dc:description/>
  <cp:lastModifiedBy>Ambra Prete</cp:lastModifiedBy>
  <cp:revision>6</cp:revision>
  <dcterms:created xsi:type="dcterms:W3CDTF">2020-10-02T15:14:00Z</dcterms:created>
  <dcterms:modified xsi:type="dcterms:W3CDTF">2020-10-21T16:49:00Z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0x010100CDE7D5F4C5F54841A739FA36E208D600</vt:lpwstr>
  </property>
</Properties>
</file>