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186F76" w14:textId="77777777" w:rsidR="008F3736" w:rsidRPr="00A3309F" w:rsidRDefault="008F3736" w:rsidP="00740547">
      <w:pPr>
        <w:spacing w:after="0" w:line="240" w:lineRule="auto"/>
        <w:jc w:val="center"/>
        <w:rPr>
          <w:rFonts w:asciiTheme="majorHAnsi" w:hAnsiTheme="majorHAnsi" w:cstheme="majorHAnsi"/>
          <w:b/>
          <w:sz w:val="28"/>
        </w:rPr>
      </w:pPr>
      <w:r w:rsidRPr="00A3309F">
        <w:rPr>
          <w:rFonts w:asciiTheme="majorHAnsi" w:hAnsiTheme="majorHAnsi" w:cstheme="majorHAnsi"/>
          <w:b/>
          <w:noProof/>
          <w:sz w:val="28"/>
          <w:lang w:eastAsia="fr-FR"/>
        </w:rPr>
        <w:drawing>
          <wp:anchor distT="0" distB="0" distL="114300" distR="114300" simplePos="0" relativeHeight="251660288" behindDoc="1" locked="0" layoutInCell="1" allowOverlap="1" wp14:anchorId="2230BF53" wp14:editId="4328AABE">
            <wp:simplePos x="0" y="0"/>
            <wp:positionH relativeFrom="margin">
              <wp:align>left</wp:align>
            </wp:positionH>
            <wp:positionV relativeFrom="paragraph">
              <wp:posOffset>-391795</wp:posOffset>
            </wp:positionV>
            <wp:extent cx="981075" cy="1124428"/>
            <wp:effectExtent l="0" t="0" r="0" b="0"/>
            <wp:wrapNone/>
            <wp:docPr id="4" name="Image 4" descr="C:\Users\colin.boyaval\Documents\LOGO PARTAGE RISE COULEUR RV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olin.boyaval\Documents\LOGO PARTAGE RISE COULEUR RVB.jpg"/>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31912" t="11693" r="31877" b="29607"/>
                    <a:stretch/>
                  </pic:blipFill>
                  <pic:spPr bwMode="auto">
                    <a:xfrm>
                      <a:off x="0" y="0"/>
                      <a:ext cx="981075" cy="1124428"/>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A3309F">
        <w:rPr>
          <w:rFonts w:asciiTheme="majorHAnsi" w:hAnsiTheme="majorHAnsi" w:cstheme="majorHAnsi"/>
          <w:b/>
          <w:sz w:val="28"/>
        </w:rPr>
        <w:t xml:space="preserve">Partage RISE </w:t>
      </w:r>
    </w:p>
    <w:p w14:paraId="4778EED0" w14:textId="69F1E98F" w:rsidR="008F3736" w:rsidRPr="00A3309F" w:rsidRDefault="008428A7" w:rsidP="00740547">
      <w:pPr>
        <w:spacing w:after="0" w:line="240" w:lineRule="auto"/>
        <w:jc w:val="center"/>
        <w:rPr>
          <w:rFonts w:asciiTheme="majorHAnsi" w:hAnsiTheme="majorHAnsi" w:cstheme="majorHAnsi"/>
          <w:sz w:val="24"/>
        </w:rPr>
      </w:pPr>
      <w:r w:rsidRPr="00A3309F">
        <w:rPr>
          <w:rFonts w:asciiTheme="majorHAnsi" w:hAnsiTheme="majorHAnsi" w:cstheme="majorHAnsi"/>
          <w:sz w:val="24"/>
        </w:rPr>
        <w:t xml:space="preserve">Fiche de participation au groupe </w:t>
      </w:r>
      <w:r w:rsidR="004E1F5D" w:rsidRPr="00A3309F">
        <w:rPr>
          <w:rFonts w:asciiTheme="majorHAnsi" w:hAnsiTheme="majorHAnsi" w:cstheme="majorHAnsi"/>
          <w:sz w:val="24"/>
        </w:rPr>
        <w:t xml:space="preserve">d’échange </w:t>
      </w:r>
      <w:r w:rsidR="003F64C3" w:rsidRPr="00A3309F">
        <w:rPr>
          <w:rFonts w:asciiTheme="majorHAnsi" w:hAnsiTheme="majorHAnsi" w:cstheme="majorHAnsi"/>
          <w:sz w:val="24"/>
        </w:rPr>
        <w:t>hispano-lusophone</w:t>
      </w:r>
      <w:r w:rsidR="004E1F5D" w:rsidRPr="00A3309F">
        <w:rPr>
          <w:rFonts w:asciiTheme="majorHAnsi" w:hAnsiTheme="majorHAnsi" w:cstheme="majorHAnsi"/>
          <w:sz w:val="24"/>
        </w:rPr>
        <w:t xml:space="preserve"> (1)</w:t>
      </w:r>
    </w:p>
    <w:p w14:paraId="056E7F74" w14:textId="3FCA709D" w:rsidR="008F3736" w:rsidRPr="00A3309F" w:rsidRDefault="003F64C3" w:rsidP="00740547">
      <w:pPr>
        <w:pBdr>
          <w:bottom w:val="single" w:sz="4" w:space="12" w:color="auto"/>
        </w:pBdr>
        <w:spacing w:after="0" w:line="240" w:lineRule="auto"/>
        <w:jc w:val="center"/>
        <w:rPr>
          <w:rFonts w:asciiTheme="majorHAnsi" w:hAnsiTheme="majorHAnsi" w:cstheme="majorHAnsi"/>
        </w:rPr>
      </w:pPr>
      <w:r w:rsidRPr="00A3309F">
        <w:rPr>
          <w:rFonts w:asciiTheme="majorHAnsi" w:hAnsiTheme="majorHAnsi" w:cstheme="majorHAnsi"/>
        </w:rPr>
        <w:t>Jeudi 1</w:t>
      </w:r>
      <w:r w:rsidR="000500AA">
        <w:rPr>
          <w:rFonts w:asciiTheme="majorHAnsi" w:hAnsiTheme="majorHAnsi" w:cstheme="majorHAnsi"/>
        </w:rPr>
        <w:t>0</w:t>
      </w:r>
      <w:r w:rsidR="004E1F5D" w:rsidRPr="00A3309F">
        <w:rPr>
          <w:rFonts w:asciiTheme="majorHAnsi" w:hAnsiTheme="majorHAnsi" w:cstheme="majorHAnsi"/>
        </w:rPr>
        <w:t xml:space="preserve"> septembre 2020</w:t>
      </w:r>
    </w:p>
    <w:p w14:paraId="7B1C291A" w14:textId="77777777" w:rsidR="00691258" w:rsidRPr="00A3309F" w:rsidRDefault="00691258" w:rsidP="00740547">
      <w:pPr>
        <w:spacing w:after="0" w:line="240" w:lineRule="auto"/>
        <w:jc w:val="center"/>
        <w:rPr>
          <w:rFonts w:asciiTheme="majorHAnsi" w:hAnsiTheme="majorHAnsi" w:cstheme="majorHAnsi"/>
          <w:b/>
          <w:sz w:val="24"/>
          <w:u w:val="single"/>
        </w:rPr>
      </w:pPr>
    </w:p>
    <w:p w14:paraId="0261D1D8" w14:textId="77777777" w:rsidR="008F3736" w:rsidRPr="00A3309F" w:rsidRDefault="00C40D93" w:rsidP="00740547">
      <w:pPr>
        <w:spacing w:after="0" w:line="240" w:lineRule="auto"/>
        <w:jc w:val="center"/>
        <w:rPr>
          <w:rFonts w:asciiTheme="majorHAnsi" w:hAnsiTheme="majorHAnsi" w:cstheme="majorHAnsi"/>
          <w:b/>
          <w:sz w:val="24"/>
          <w:u w:val="single"/>
        </w:rPr>
      </w:pPr>
      <w:r w:rsidRPr="00A3309F">
        <w:rPr>
          <w:rFonts w:asciiTheme="majorHAnsi" w:hAnsiTheme="majorHAnsi" w:cstheme="majorHAnsi"/>
          <w:b/>
          <w:sz w:val="24"/>
          <w:u w:val="single"/>
        </w:rPr>
        <w:t>Résumé</w:t>
      </w:r>
    </w:p>
    <w:p w14:paraId="7DBC07A2" w14:textId="77777777" w:rsidR="00691258" w:rsidRPr="00A3309F" w:rsidRDefault="00691258" w:rsidP="00740547">
      <w:pPr>
        <w:spacing w:after="0" w:line="240" w:lineRule="auto"/>
        <w:rPr>
          <w:rFonts w:asciiTheme="majorHAnsi" w:hAnsiTheme="majorHAnsi" w:cstheme="majorHAnsi"/>
          <w:sz w:val="24"/>
        </w:rPr>
      </w:pPr>
    </w:p>
    <w:p w14:paraId="111CD00F" w14:textId="77777777" w:rsidR="00C84564" w:rsidRPr="00A3309F" w:rsidRDefault="00691258" w:rsidP="00740547">
      <w:pPr>
        <w:spacing w:after="0" w:line="240" w:lineRule="auto"/>
        <w:jc w:val="both"/>
        <w:rPr>
          <w:rFonts w:asciiTheme="majorHAnsi" w:hAnsiTheme="majorHAnsi" w:cstheme="majorHAnsi"/>
        </w:rPr>
      </w:pPr>
      <w:r w:rsidRPr="00A3309F">
        <w:rPr>
          <w:rFonts w:asciiTheme="majorHAnsi" w:hAnsiTheme="majorHAnsi" w:cstheme="majorHAnsi"/>
        </w:rPr>
        <w:t xml:space="preserve">Suite </w:t>
      </w:r>
      <w:r w:rsidR="00C84564" w:rsidRPr="00A3309F">
        <w:rPr>
          <w:rFonts w:asciiTheme="majorHAnsi" w:hAnsiTheme="majorHAnsi" w:cstheme="majorHAnsi"/>
        </w:rPr>
        <w:t>à la réalisation</w:t>
      </w:r>
      <w:r w:rsidR="00964934" w:rsidRPr="00A3309F">
        <w:rPr>
          <w:rFonts w:asciiTheme="majorHAnsi" w:hAnsiTheme="majorHAnsi" w:cstheme="majorHAnsi"/>
        </w:rPr>
        <w:t xml:space="preserve"> de</w:t>
      </w:r>
      <w:r w:rsidRPr="00A3309F">
        <w:rPr>
          <w:rFonts w:asciiTheme="majorHAnsi" w:hAnsiTheme="majorHAnsi" w:cstheme="majorHAnsi"/>
        </w:rPr>
        <w:t xml:space="preserve"> visio-</w:t>
      </w:r>
      <w:r w:rsidR="00C40D93" w:rsidRPr="00A3309F">
        <w:rPr>
          <w:rFonts w:asciiTheme="majorHAnsi" w:hAnsiTheme="majorHAnsi" w:cstheme="majorHAnsi"/>
        </w:rPr>
        <w:t>conférence</w:t>
      </w:r>
      <w:r w:rsidRPr="00A3309F">
        <w:rPr>
          <w:rFonts w:asciiTheme="majorHAnsi" w:hAnsiTheme="majorHAnsi" w:cstheme="majorHAnsi"/>
        </w:rPr>
        <w:t>s</w:t>
      </w:r>
      <w:r w:rsidR="00C40D93" w:rsidRPr="00A3309F">
        <w:rPr>
          <w:rFonts w:asciiTheme="majorHAnsi" w:hAnsiTheme="majorHAnsi" w:cstheme="majorHAnsi"/>
        </w:rPr>
        <w:t xml:space="preserve"> des partenaires de Partage </w:t>
      </w:r>
      <w:r w:rsidR="00C84564" w:rsidRPr="00A3309F">
        <w:rPr>
          <w:rFonts w:asciiTheme="majorHAnsi" w:hAnsiTheme="majorHAnsi" w:cstheme="majorHAnsi"/>
        </w:rPr>
        <w:t xml:space="preserve">par zone géographique (Asie, Afrique, Amérique Latine et Proche Orient) sur la période de mai à juin 2020 Partage propose de reprendre en septembre 2020 les échanges entre les membres. </w:t>
      </w:r>
    </w:p>
    <w:p w14:paraId="421E7547" w14:textId="218547B6" w:rsidR="00691258" w:rsidRPr="00A3309F" w:rsidRDefault="00C84564" w:rsidP="00740547">
      <w:pPr>
        <w:spacing w:after="0" w:line="240" w:lineRule="auto"/>
        <w:jc w:val="both"/>
        <w:rPr>
          <w:rFonts w:asciiTheme="majorHAnsi" w:hAnsiTheme="majorHAnsi" w:cstheme="majorHAnsi"/>
        </w:rPr>
      </w:pPr>
      <w:r w:rsidRPr="00A3309F">
        <w:rPr>
          <w:rFonts w:asciiTheme="majorHAnsi" w:hAnsiTheme="majorHAnsi" w:cstheme="majorHAnsi"/>
        </w:rPr>
        <w:t xml:space="preserve">Dans un souci d’équilibrer la taille des groupes d’échanges Partage propose que l’organisation des visio conférences ne se fasse plus sur une base géographique mais sur une base linguistique. Ainsi seront lancés 2 groupes francophones, 2 groupes anglophones et 1 groupe hispano-lusophone, chaque groupe pouvant intégrer au maximum 7 participants. </w:t>
      </w:r>
    </w:p>
    <w:p w14:paraId="2445C8AA" w14:textId="73BE6317" w:rsidR="00C84564" w:rsidRPr="00A3309F" w:rsidRDefault="00C84564" w:rsidP="00740547">
      <w:pPr>
        <w:spacing w:after="0" w:line="240" w:lineRule="auto"/>
        <w:jc w:val="both"/>
        <w:rPr>
          <w:rFonts w:asciiTheme="majorHAnsi" w:hAnsiTheme="majorHAnsi" w:cstheme="majorHAnsi"/>
        </w:rPr>
      </w:pPr>
      <w:r w:rsidRPr="00A3309F">
        <w:rPr>
          <w:rFonts w:asciiTheme="majorHAnsi" w:hAnsiTheme="majorHAnsi" w:cstheme="majorHAnsi"/>
        </w:rPr>
        <w:t>Il est prévu que Partage organise des sessions d’échanges sur une base trimestrielle, la composition des groupes n’est pas fixe et la participation de chaque organisation reste volontaire et facultative.</w:t>
      </w:r>
    </w:p>
    <w:p w14:paraId="2F2F1F6F" w14:textId="77777777" w:rsidR="00C84564" w:rsidRPr="00A3309F" w:rsidRDefault="00C84564" w:rsidP="00740547">
      <w:pPr>
        <w:spacing w:after="0" w:line="240" w:lineRule="auto"/>
        <w:jc w:val="both"/>
        <w:rPr>
          <w:rFonts w:asciiTheme="majorHAnsi" w:hAnsiTheme="majorHAnsi" w:cstheme="majorHAnsi"/>
        </w:rPr>
      </w:pPr>
    </w:p>
    <w:p w14:paraId="2585F604" w14:textId="0EB81F5D" w:rsidR="0082239C" w:rsidRPr="00A3309F" w:rsidRDefault="0082239C" w:rsidP="00740547">
      <w:pPr>
        <w:spacing w:after="0" w:line="240" w:lineRule="auto"/>
        <w:jc w:val="both"/>
        <w:rPr>
          <w:rFonts w:asciiTheme="majorHAnsi" w:hAnsiTheme="majorHAnsi" w:cstheme="majorHAnsi"/>
        </w:rPr>
      </w:pPr>
      <w:r w:rsidRPr="00A3309F">
        <w:rPr>
          <w:rFonts w:asciiTheme="majorHAnsi" w:hAnsiTheme="majorHAnsi" w:cstheme="majorHAnsi"/>
        </w:rPr>
        <w:t xml:space="preserve">Les objectifs de </w:t>
      </w:r>
      <w:r w:rsidR="00C84564" w:rsidRPr="00A3309F">
        <w:rPr>
          <w:rFonts w:asciiTheme="majorHAnsi" w:hAnsiTheme="majorHAnsi" w:cstheme="majorHAnsi"/>
        </w:rPr>
        <w:t>ces</w:t>
      </w:r>
      <w:r w:rsidRPr="00A3309F">
        <w:rPr>
          <w:rFonts w:asciiTheme="majorHAnsi" w:hAnsiTheme="majorHAnsi" w:cstheme="majorHAnsi"/>
        </w:rPr>
        <w:t xml:space="preserve"> réunion</w:t>
      </w:r>
      <w:r w:rsidR="00C84564" w:rsidRPr="00A3309F">
        <w:rPr>
          <w:rFonts w:asciiTheme="majorHAnsi" w:hAnsiTheme="majorHAnsi" w:cstheme="majorHAnsi"/>
        </w:rPr>
        <w:t>s</w:t>
      </w:r>
      <w:r w:rsidRPr="00A3309F">
        <w:rPr>
          <w:rFonts w:asciiTheme="majorHAnsi" w:hAnsiTheme="majorHAnsi" w:cstheme="majorHAnsi"/>
        </w:rPr>
        <w:t xml:space="preserve"> </w:t>
      </w:r>
      <w:r w:rsidR="00C84564" w:rsidRPr="00A3309F">
        <w:rPr>
          <w:rFonts w:asciiTheme="majorHAnsi" w:hAnsiTheme="majorHAnsi" w:cstheme="majorHAnsi"/>
        </w:rPr>
        <w:t>sont</w:t>
      </w:r>
      <w:r w:rsidRPr="00A3309F">
        <w:rPr>
          <w:rFonts w:asciiTheme="majorHAnsi" w:hAnsiTheme="majorHAnsi" w:cstheme="majorHAnsi"/>
        </w:rPr>
        <w:t xml:space="preserve"> les suivants : </w:t>
      </w:r>
    </w:p>
    <w:p w14:paraId="1F3BCD66" w14:textId="77777777" w:rsidR="0082239C" w:rsidRPr="00A3309F" w:rsidRDefault="00C40D93" w:rsidP="00740547">
      <w:pPr>
        <w:pStyle w:val="Paragraphedeliste"/>
        <w:numPr>
          <w:ilvl w:val="1"/>
          <w:numId w:val="7"/>
        </w:numPr>
        <w:spacing w:after="0" w:line="240" w:lineRule="auto"/>
        <w:jc w:val="both"/>
        <w:rPr>
          <w:rFonts w:asciiTheme="majorHAnsi" w:hAnsiTheme="majorHAnsi" w:cstheme="majorHAnsi"/>
        </w:rPr>
      </w:pPr>
      <w:r w:rsidRPr="00A3309F">
        <w:rPr>
          <w:rFonts w:asciiTheme="majorHAnsi" w:hAnsiTheme="majorHAnsi" w:cstheme="majorHAnsi"/>
        </w:rPr>
        <w:t>D</w:t>
      </w:r>
      <w:r w:rsidR="0082239C" w:rsidRPr="00A3309F">
        <w:rPr>
          <w:rFonts w:asciiTheme="majorHAnsi" w:hAnsiTheme="majorHAnsi" w:cstheme="majorHAnsi"/>
        </w:rPr>
        <w:t>onner des nouvelles de chacun</w:t>
      </w:r>
      <w:r w:rsidRPr="00A3309F">
        <w:rPr>
          <w:rFonts w:asciiTheme="majorHAnsi" w:hAnsiTheme="majorHAnsi" w:cstheme="majorHAnsi"/>
        </w:rPr>
        <w:t xml:space="preserve"> </w:t>
      </w:r>
      <w:r w:rsidR="0082239C" w:rsidRPr="00A3309F">
        <w:rPr>
          <w:rFonts w:asciiTheme="majorHAnsi" w:hAnsiTheme="majorHAnsi" w:cstheme="majorHAnsi"/>
        </w:rPr>
        <w:t xml:space="preserve">; </w:t>
      </w:r>
    </w:p>
    <w:p w14:paraId="544382A4" w14:textId="77777777" w:rsidR="0082239C" w:rsidRPr="00A3309F" w:rsidRDefault="0082239C" w:rsidP="00740547">
      <w:pPr>
        <w:pStyle w:val="Paragraphedeliste"/>
        <w:numPr>
          <w:ilvl w:val="1"/>
          <w:numId w:val="7"/>
        </w:numPr>
        <w:spacing w:after="0" w:line="240" w:lineRule="auto"/>
        <w:jc w:val="both"/>
        <w:rPr>
          <w:rFonts w:asciiTheme="majorHAnsi" w:hAnsiTheme="majorHAnsi" w:cstheme="majorHAnsi"/>
        </w:rPr>
      </w:pPr>
      <w:r w:rsidRPr="00A3309F">
        <w:rPr>
          <w:rFonts w:asciiTheme="majorHAnsi" w:hAnsiTheme="majorHAnsi" w:cstheme="majorHAnsi"/>
        </w:rPr>
        <w:t xml:space="preserve">Echanger sur la situation du Covid-19 dans </w:t>
      </w:r>
      <w:r w:rsidR="00C40D93" w:rsidRPr="00A3309F">
        <w:rPr>
          <w:rFonts w:asciiTheme="majorHAnsi" w:hAnsiTheme="majorHAnsi" w:cstheme="majorHAnsi"/>
        </w:rPr>
        <w:t>les</w:t>
      </w:r>
      <w:r w:rsidRPr="00A3309F">
        <w:rPr>
          <w:rFonts w:asciiTheme="majorHAnsi" w:hAnsiTheme="majorHAnsi" w:cstheme="majorHAnsi"/>
        </w:rPr>
        <w:t xml:space="preserve"> pays</w:t>
      </w:r>
      <w:r w:rsidR="00C40D93" w:rsidRPr="00A3309F">
        <w:rPr>
          <w:rFonts w:asciiTheme="majorHAnsi" w:hAnsiTheme="majorHAnsi" w:cstheme="majorHAnsi"/>
        </w:rPr>
        <w:t xml:space="preserve"> d’intervention</w:t>
      </w:r>
      <w:r w:rsidRPr="00A3309F">
        <w:rPr>
          <w:rFonts w:asciiTheme="majorHAnsi" w:hAnsiTheme="majorHAnsi" w:cstheme="majorHAnsi"/>
        </w:rPr>
        <w:t xml:space="preserve"> ; </w:t>
      </w:r>
    </w:p>
    <w:p w14:paraId="3CF7BD72" w14:textId="77777777" w:rsidR="00691258" w:rsidRPr="00A3309F" w:rsidRDefault="0082239C" w:rsidP="00740547">
      <w:pPr>
        <w:pStyle w:val="Paragraphedeliste"/>
        <w:numPr>
          <w:ilvl w:val="1"/>
          <w:numId w:val="7"/>
        </w:numPr>
        <w:spacing w:after="0" w:line="240" w:lineRule="auto"/>
        <w:jc w:val="both"/>
        <w:rPr>
          <w:rFonts w:asciiTheme="majorHAnsi" w:hAnsiTheme="majorHAnsi" w:cstheme="majorHAnsi"/>
        </w:rPr>
      </w:pPr>
      <w:r w:rsidRPr="00A3309F">
        <w:rPr>
          <w:rFonts w:asciiTheme="majorHAnsi" w:hAnsiTheme="majorHAnsi" w:cstheme="majorHAnsi"/>
        </w:rPr>
        <w:t xml:space="preserve">Donner à chacun la possibilité de présenter les activités / actions menées localement ; </w:t>
      </w:r>
    </w:p>
    <w:p w14:paraId="072B9F86" w14:textId="77777777" w:rsidR="0082239C" w:rsidRPr="00A3309F" w:rsidRDefault="0082239C" w:rsidP="00740547">
      <w:pPr>
        <w:pStyle w:val="Paragraphedeliste"/>
        <w:numPr>
          <w:ilvl w:val="1"/>
          <w:numId w:val="7"/>
        </w:numPr>
        <w:spacing w:after="0" w:line="240" w:lineRule="auto"/>
        <w:jc w:val="both"/>
        <w:rPr>
          <w:rFonts w:asciiTheme="majorHAnsi" w:hAnsiTheme="majorHAnsi" w:cstheme="majorHAnsi"/>
        </w:rPr>
      </w:pPr>
      <w:r w:rsidRPr="00A3309F">
        <w:rPr>
          <w:rFonts w:asciiTheme="majorHAnsi" w:hAnsiTheme="majorHAnsi" w:cstheme="majorHAnsi"/>
        </w:rPr>
        <w:t xml:space="preserve">Partager des idées, des bonnes </w:t>
      </w:r>
      <w:r w:rsidR="00C40D93" w:rsidRPr="00A3309F">
        <w:rPr>
          <w:rFonts w:asciiTheme="majorHAnsi" w:hAnsiTheme="majorHAnsi" w:cstheme="majorHAnsi"/>
        </w:rPr>
        <w:t>pratiques</w:t>
      </w:r>
      <w:r w:rsidRPr="00A3309F">
        <w:rPr>
          <w:rFonts w:asciiTheme="majorHAnsi" w:hAnsiTheme="majorHAnsi" w:cstheme="majorHAnsi"/>
        </w:rPr>
        <w:t xml:space="preserve">. </w:t>
      </w:r>
    </w:p>
    <w:p w14:paraId="0672BC07" w14:textId="77777777" w:rsidR="004E1F5D" w:rsidRPr="00A3309F" w:rsidRDefault="004E1F5D" w:rsidP="00740547">
      <w:pPr>
        <w:spacing w:after="0" w:line="240" w:lineRule="auto"/>
        <w:rPr>
          <w:rFonts w:asciiTheme="majorHAnsi" w:hAnsiTheme="majorHAnsi" w:cstheme="majorHAnsi"/>
        </w:rPr>
      </w:pPr>
    </w:p>
    <w:p w14:paraId="5CA636AD" w14:textId="77777777" w:rsidR="00C8109E" w:rsidRPr="00A3309F" w:rsidRDefault="00C8109E" w:rsidP="00740547">
      <w:pPr>
        <w:spacing w:after="0" w:line="240" w:lineRule="auto"/>
        <w:rPr>
          <w:rFonts w:asciiTheme="majorHAnsi" w:hAnsiTheme="majorHAnsi" w:cstheme="majorHAnsi"/>
        </w:rPr>
      </w:pPr>
    </w:p>
    <w:p w14:paraId="38C02851" w14:textId="77777777" w:rsidR="004E1F5D" w:rsidRPr="00A3309F" w:rsidRDefault="004E1F5D" w:rsidP="00740547">
      <w:pPr>
        <w:spacing w:after="0" w:line="240" w:lineRule="auto"/>
        <w:rPr>
          <w:rFonts w:asciiTheme="majorHAnsi" w:hAnsiTheme="majorHAnsi" w:cstheme="majorHAnsi"/>
        </w:rPr>
      </w:pPr>
    </w:p>
    <w:p w14:paraId="4CA4344E" w14:textId="47153B1C" w:rsidR="00E46487" w:rsidRPr="00A3309F" w:rsidRDefault="00964934" w:rsidP="00740547">
      <w:pPr>
        <w:spacing w:after="0" w:line="240" w:lineRule="auto"/>
        <w:rPr>
          <w:rFonts w:asciiTheme="majorHAnsi" w:hAnsiTheme="majorHAnsi" w:cstheme="majorHAnsi"/>
          <w:b/>
          <w:bCs/>
        </w:rPr>
      </w:pPr>
      <w:r w:rsidRPr="00A3309F">
        <w:rPr>
          <w:rFonts w:asciiTheme="majorHAnsi" w:hAnsiTheme="majorHAnsi" w:cstheme="majorHAnsi"/>
          <w:b/>
          <w:bCs/>
        </w:rPr>
        <w:t>Nom de l’organisation participante :</w:t>
      </w:r>
      <w:r w:rsidR="005B2389" w:rsidRPr="00A3309F">
        <w:rPr>
          <w:rFonts w:asciiTheme="majorHAnsi" w:hAnsiTheme="majorHAnsi" w:cstheme="majorHAnsi"/>
          <w:b/>
          <w:bCs/>
        </w:rPr>
        <w:t xml:space="preserve"> Agacc</w:t>
      </w:r>
    </w:p>
    <w:p w14:paraId="2CDB668A" w14:textId="52EDD001" w:rsidR="00964934" w:rsidRPr="00A3309F" w:rsidRDefault="00964934" w:rsidP="00740547">
      <w:pPr>
        <w:spacing w:after="0" w:line="240" w:lineRule="auto"/>
        <w:rPr>
          <w:rFonts w:asciiTheme="majorHAnsi" w:hAnsiTheme="majorHAnsi" w:cstheme="majorHAnsi"/>
          <w:b/>
          <w:bCs/>
        </w:rPr>
      </w:pPr>
      <w:r w:rsidRPr="00A3309F">
        <w:rPr>
          <w:rFonts w:asciiTheme="majorHAnsi" w:hAnsiTheme="majorHAnsi" w:cstheme="majorHAnsi"/>
          <w:b/>
          <w:bCs/>
        </w:rPr>
        <w:t>Nom des / de la personne représentant l’organisation :</w:t>
      </w:r>
      <w:r w:rsidR="005B2389" w:rsidRPr="00A3309F">
        <w:rPr>
          <w:rFonts w:asciiTheme="majorHAnsi" w:hAnsiTheme="majorHAnsi" w:cstheme="majorHAnsi"/>
          <w:b/>
          <w:bCs/>
        </w:rPr>
        <w:t xml:space="preserve"> Magda</w:t>
      </w:r>
    </w:p>
    <w:p w14:paraId="7655B7EE" w14:textId="3AAA88B9" w:rsidR="00964934" w:rsidRPr="000500AA" w:rsidRDefault="00964934" w:rsidP="00740547">
      <w:pPr>
        <w:spacing w:after="0" w:line="240" w:lineRule="auto"/>
        <w:rPr>
          <w:rFonts w:asciiTheme="majorHAnsi" w:hAnsiTheme="majorHAnsi" w:cstheme="majorHAnsi"/>
          <w:b/>
          <w:bCs/>
        </w:rPr>
      </w:pPr>
      <w:r w:rsidRPr="000500AA">
        <w:rPr>
          <w:rFonts w:asciiTheme="majorHAnsi" w:hAnsiTheme="majorHAnsi" w:cstheme="majorHAnsi"/>
          <w:b/>
          <w:bCs/>
        </w:rPr>
        <w:t>Pays :</w:t>
      </w:r>
      <w:r w:rsidR="005B2389" w:rsidRPr="000500AA">
        <w:rPr>
          <w:rFonts w:asciiTheme="majorHAnsi" w:hAnsiTheme="majorHAnsi" w:cstheme="majorHAnsi"/>
          <w:b/>
          <w:bCs/>
        </w:rPr>
        <w:t xml:space="preserve"> Brésil</w:t>
      </w:r>
    </w:p>
    <w:p w14:paraId="298CAF4A" w14:textId="3DF9BD4B" w:rsidR="005B2389" w:rsidRPr="000500AA" w:rsidRDefault="00964934" w:rsidP="005B2389">
      <w:pPr>
        <w:rPr>
          <w:rFonts w:asciiTheme="majorHAnsi" w:eastAsia="Times New Roman" w:hAnsiTheme="majorHAnsi" w:cstheme="majorHAnsi"/>
          <w:color w:val="000000"/>
          <w:lang w:eastAsia="fr-FR"/>
        </w:rPr>
      </w:pPr>
      <w:r w:rsidRPr="00A3309F">
        <w:rPr>
          <w:rFonts w:asciiTheme="majorHAnsi" w:hAnsiTheme="majorHAnsi" w:cstheme="majorHAnsi"/>
          <w:b/>
          <w:bCs/>
        </w:rPr>
        <w:t xml:space="preserve">Nombre de cas de COVID-19 dans le pays : </w:t>
      </w:r>
      <w:r w:rsidR="005B2389" w:rsidRPr="00A3309F">
        <w:rPr>
          <w:rFonts w:asciiTheme="majorHAnsi" w:hAnsiTheme="majorHAnsi" w:cstheme="majorHAnsi"/>
          <w:b/>
          <w:bCs/>
        </w:rPr>
        <w:t xml:space="preserve"> </w:t>
      </w:r>
      <w:r w:rsidR="00A3309F" w:rsidRPr="00A3309F">
        <w:rPr>
          <w:rFonts w:asciiTheme="majorHAnsi" w:eastAsia="Times New Roman" w:hAnsiTheme="majorHAnsi" w:cstheme="majorHAnsi"/>
          <w:color w:val="000000"/>
          <w:lang w:eastAsia="fr-FR"/>
        </w:rPr>
        <w:t xml:space="preserve">Au Brésil : 4 137 606 cas enregistrés, 126 686 décès.   Dans l'État du Ceará, les données enregistrées sont les suivantes : 222 119 cas enregistrés ; 8 565 décès. </w:t>
      </w:r>
      <w:r w:rsidR="00A3309F" w:rsidRPr="000500AA">
        <w:rPr>
          <w:rFonts w:asciiTheme="majorHAnsi" w:eastAsia="Times New Roman" w:hAnsiTheme="majorHAnsi" w:cstheme="majorHAnsi"/>
          <w:color w:val="000000"/>
          <w:lang w:eastAsia="fr-FR"/>
        </w:rPr>
        <w:t>(Données du Consortium des véhicules de presse, 20/09/06)</w:t>
      </w:r>
    </w:p>
    <w:p w14:paraId="5981CF42" w14:textId="7474264D" w:rsidR="00964934" w:rsidRPr="000500AA" w:rsidRDefault="005B2389" w:rsidP="00740547">
      <w:pPr>
        <w:spacing w:after="0" w:line="240" w:lineRule="auto"/>
        <w:rPr>
          <w:rFonts w:asciiTheme="majorHAnsi" w:hAnsiTheme="majorHAnsi" w:cstheme="majorHAnsi"/>
          <w:b/>
          <w:bCs/>
        </w:rPr>
      </w:pPr>
      <w:r w:rsidRPr="000500AA">
        <w:rPr>
          <w:rFonts w:asciiTheme="majorHAnsi" w:hAnsiTheme="majorHAnsi" w:cstheme="majorHAnsi"/>
          <w:b/>
          <w:bCs/>
        </w:rPr>
        <w:tab/>
      </w:r>
    </w:p>
    <w:p w14:paraId="42CE5A65" w14:textId="5A68AA16" w:rsidR="00964934" w:rsidRPr="000500AA" w:rsidRDefault="00964934" w:rsidP="00740547">
      <w:pPr>
        <w:spacing w:after="0" w:line="240" w:lineRule="auto"/>
        <w:rPr>
          <w:rFonts w:asciiTheme="majorHAnsi" w:hAnsiTheme="majorHAnsi" w:cstheme="majorHAnsi"/>
          <w:b/>
          <w:bCs/>
        </w:rPr>
      </w:pPr>
      <w:r w:rsidRPr="000500AA">
        <w:rPr>
          <w:rFonts w:asciiTheme="majorHAnsi" w:hAnsiTheme="majorHAnsi" w:cstheme="majorHAnsi"/>
          <w:b/>
          <w:bCs/>
        </w:rPr>
        <w:t>Contexte pays :</w:t>
      </w:r>
      <w:r w:rsidR="00C8109E" w:rsidRPr="000500AA">
        <w:rPr>
          <w:rFonts w:asciiTheme="majorHAnsi" w:hAnsiTheme="majorHAnsi" w:cstheme="majorHAnsi"/>
          <w:b/>
          <w:bCs/>
        </w:rPr>
        <w:t xml:space="preserve"> </w:t>
      </w:r>
      <w:r w:rsidR="00C8109E" w:rsidRPr="000500AA">
        <w:rPr>
          <w:rFonts w:asciiTheme="majorHAnsi" w:hAnsiTheme="majorHAnsi" w:cstheme="majorHAnsi"/>
          <w:i/>
          <w:iCs/>
          <w:color w:val="2F5496" w:themeColor="accent5" w:themeShade="BF"/>
        </w:rPr>
        <w:t>(200 mots max)</w:t>
      </w:r>
    </w:p>
    <w:p w14:paraId="188822AA" w14:textId="77777777" w:rsidR="00A3309F" w:rsidRPr="00A3309F" w:rsidRDefault="00A3309F" w:rsidP="00740547">
      <w:pPr>
        <w:spacing w:after="0" w:line="240" w:lineRule="auto"/>
        <w:rPr>
          <w:rFonts w:asciiTheme="majorHAnsi" w:eastAsia="Times New Roman" w:hAnsiTheme="majorHAnsi" w:cstheme="majorHAnsi"/>
          <w:color w:val="000000"/>
          <w:lang w:eastAsia="fr-FR"/>
        </w:rPr>
      </w:pPr>
      <w:r w:rsidRPr="00A3309F">
        <w:rPr>
          <w:rFonts w:asciiTheme="majorHAnsi" w:eastAsia="Times New Roman" w:hAnsiTheme="majorHAnsi" w:cstheme="majorHAnsi"/>
          <w:color w:val="000000"/>
          <w:lang w:eastAsia="fr-FR"/>
        </w:rPr>
        <w:t xml:space="preserve">09 États en stabilité, 03 en hausse, 14 en baisse - dont le Ceará </w:t>
      </w:r>
    </w:p>
    <w:p w14:paraId="7C51F670" w14:textId="4812E92C" w:rsidR="00C76A03" w:rsidRPr="00A3309F" w:rsidRDefault="005B2389" w:rsidP="00740547">
      <w:pPr>
        <w:spacing w:after="0" w:line="240" w:lineRule="auto"/>
        <w:rPr>
          <w:rFonts w:asciiTheme="majorHAnsi" w:hAnsiTheme="majorHAnsi" w:cstheme="majorHAnsi"/>
        </w:rPr>
      </w:pPr>
      <w:r w:rsidRPr="00A3309F">
        <w:rPr>
          <w:rFonts w:asciiTheme="majorHAnsi" w:hAnsiTheme="majorHAnsi" w:cstheme="majorHAnsi"/>
        </w:rPr>
        <w:t>D’un jour à l’autre la situation change beaucoup : le nombre de cas dans la région du Ceara a augmenté de 19% suite à un relâchement de la population à la suite d’un jour férié. Les écoles publiques restent fermées pour le moment.</w:t>
      </w:r>
    </w:p>
    <w:p w14:paraId="025DD794" w14:textId="77777777" w:rsidR="00C76A03" w:rsidRPr="00A3309F" w:rsidRDefault="00C76A03" w:rsidP="00740547">
      <w:pPr>
        <w:spacing w:after="0" w:line="240" w:lineRule="auto"/>
        <w:rPr>
          <w:rFonts w:asciiTheme="majorHAnsi" w:hAnsiTheme="majorHAnsi" w:cstheme="majorHAnsi"/>
          <w:b/>
          <w:bCs/>
        </w:rPr>
      </w:pPr>
    </w:p>
    <w:p w14:paraId="0AD97CDF" w14:textId="77777777" w:rsidR="00C76A03" w:rsidRPr="00A3309F" w:rsidRDefault="00C76A03" w:rsidP="00740547">
      <w:pPr>
        <w:spacing w:after="0" w:line="240" w:lineRule="auto"/>
        <w:rPr>
          <w:rFonts w:asciiTheme="majorHAnsi" w:hAnsiTheme="majorHAnsi" w:cstheme="majorHAnsi"/>
          <w:b/>
          <w:bCs/>
        </w:rPr>
      </w:pPr>
    </w:p>
    <w:p w14:paraId="1AD0EB05" w14:textId="5498223F" w:rsidR="00964934" w:rsidRPr="00A3309F" w:rsidRDefault="00964934" w:rsidP="00740547">
      <w:pPr>
        <w:spacing w:after="0" w:line="240" w:lineRule="auto"/>
        <w:rPr>
          <w:rFonts w:asciiTheme="majorHAnsi" w:hAnsiTheme="majorHAnsi" w:cstheme="majorHAnsi"/>
          <w:b/>
          <w:bCs/>
        </w:rPr>
      </w:pPr>
      <w:r w:rsidRPr="00A3309F">
        <w:rPr>
          <w:rFonts w:asciiTheme="majorHAnsi" w:hAnsiTheme="majorHAnsi" w:cstheme="majorHAnsi"/>
          <w:b/>
          <w:bCs/>
        </w:rPr>
        <w:t>Activités mises en place et prévues par l’organisation :</w:t>
      </w:r>
      <w:r w:rsidR="00C8109E" w:rsidRPr="00A3309F">
        <w:rPr>
          <w:rFonts w:asciiTheme="majorHAnsi" w:hAnsiTheme="majorHAnsi" w:cstheme="majorHAnsi"/>
          <w:b/>
          <w:bCs/>
        </w:rPr>
        <w:t xml:space="preserve"> </w:t>
      </w:r>
      <w:r w:rsidR="00C8109E" w:rsidRPr="00A3309F">
        <w:rPr>
          <w:rFonts w:asciiTheme="majorHAnsi" w:hAnsiTheme="majorHAnsi" w:cstheme="majorHAnsi"/>
          <w:i/>
          <w:iCs/>
          <w:color w:val="2F5496" w:themeColor="accent5" w:themeShade="BF"/>
        </w:rPr>
        <w:t>(200 mots max)</w:t>
      </w:r>
    </w:p>
    <w:p w14:paraId="36833EBC" w14:textId="77777777" w:rsidR="00A3309F" w:rsidRPr="00A3309F" w:rsidRDefault="00A3309F" w:rsidP="00A3309F">
      <w:pPr>
        <w:spacing w:after="0" w:line="240" w:lineRule="auto"/>
        <w:rPr>
          <w:rFonts w:asciiTheme="majorHAnsi" w:eastAsia="Times New Roman" w:hAnsiTheme="majorHAnsi" w:cstheme="majorHAnsi"/>
          <w:color w:val="000000"/>
          <w:lang w:eastAsia="fr-FR"/>
        </w:rPr>
      </w:pPr>
      <w:r w:rsidRPr="00A3309F">
        <w:rPr>
          <w:rFonts w:asciiTheme="majorHAnsi" w:eastAsia="Times New Roman" w:hAnsiTheme="majorHAnsi" w:cstheme="majorHAnsi"/>
          <w:color w:val="000000"/>
          <w:lang w:eastAsia="fr-FR"/>
        </w:rPr>
        <w:t xml:space="preserve">Une enquête est menée auprès des familles qui permettent aux enfants et aux adolescents de reprendre des activités en face à face. Rares sont ceux qui indiquent qu'ils ne reviendront pas, mais ils sont inquiets. Pour les enfants en bas âge (jusqu'à 6 ans), les activités sont libérées à 30 % de leur capacité. </w:t>
      </w:r>
    </w:p>
    <w:p w14:paraId="54499A12" w14:textId="2C077E41" w:rsidR="00A3309F" w:rsidRPr="00A3309F" w:rsidRDefault="00A3309F" w:rsidP="00A3309F">
      <w:pPr>
        <w:spacing w:after="0" w:line="240" w:lineRule="auto"/>
        <w:rPr>
          <w:rFonts w:asciiTheme="majorHAnsi" w:eastAsia="Times New Roman" w:hAnsiTheme="majorHAnsi" w:cstheme="majorHAnsi"/>
          <w:color w:val="000000"/>
          <w:lang w:eastAsia="fr-FR"/>
        </w:rPr>
      </w:pPr>
      <w:r w:rsidRPr="00A3309F">
        <w:rPr>
          <w:rFonts w:asciiTheme="majorHAnsi" w:eastAsia="Times New Roman" w:hAnsiTheme="majorHAnsi" w:cstheme="majorHAnsi"/>
          <w:color w:val="000000"/>
          <w:lang w:eastAsia="fr-FR"/>
        </w:rPr>
        <w:t>L'AGACC devrait commencer à s'occuper des enfants de la Stimulation - individuellement, et avec un maximum de 2 personnes à la fois dans le groupe. En ce qui concerne les enfants et les adolescents plus âgés, le gouvernement du Ceará prévoit de lancer des activités avec des groupes plus importants en octobre seulement.</w:t>
      </w:r>
    </w:p>
    <w:p w14:paraId="6B669D4E" w14:textId="26A89276" w:rsidR="00C76A03" w:rsidRPr="00A3309F" w:rsidRDefault="00A3309F" w:rsidP="00A3309F">
      <w:pPr>
        <w:spacing w:after="0" w:line="240" w:lineRule="auto"/>
        <w:rPr>
          <w:rFonts w:asciiTheme="majorHAnsi" w:hAnsiTheme="majorHAnsi" w:cstheme="majorHAnsi"/>
          <w:b/>
          <w:bCs/>
        </w:rPr>
      </w:pPr>
      <w:r w:rsidRPr="00A3309F">
        <w:rPr>
          <w:rFonts w:asciiTheme="majorHAnsi" w:eastAsia="Times New Roman" w:hAnsiTheme="majorHAnsi" w:cstheme="majorHAnsi"/>
          <w:color w:val="000000"/>
          <w:lang w:eastAsia="fr-FR"/>
        </w:rPr>
        <w:t xml:space="preserve">Adaptation à l'environnement virtuel par l'équipe et les familles ; nécessité d'améliorer l'équipement ; certaines activités virtuelles n'ont pas été développées par tous les enfants et toutes les familles en </w:t>
      </w:r>
      <w:r w:rsidRPr="00A3309F">
        <w:rPr>
          <w:rFonts w:asciiTheme="majorHAnsi" w:eastAsia="Times New Roman" w:hAnsiTheme="majorHAnsi" w:cstheme="majorHAnsi"/>
          <w:color w:val="000000"/>
          <w:lang w:eastAsia="fr-FR"/>
        </w:rPr>
        <w:lastRenderedPageBreak/>
        <w:t>raison de la difficulté d'accès et d'utilisation ; les équipes ont dû augmenter les activités (plus de créativité et de jeu) pour encourager la volonté, l'intérêt et la participation des bénéficiaires. Les livrets d'activités continuent d'être produits et les kits de matériel pédagogique livrés pour les maintenir actifs et impliqués dans les projets, étant une grande ressource et bien acceptée par les familles.</w:t>
      </w:r>
    </w:p>
    <w:p w14:paraId="549441D0" w14:textId="56AD9F07" w:rsidR="00C76A03" w:rsidRPr="00A3309F" w:rsidRDefault="00C76A03" w:rsidP="00A3309F">
      <w:pPr>
        <w:pBdr>
          <w:bottom w:val="single" w:sz="4" w:space="1" w:color="auto"/>
        </w:pBdr>
        <w:spacing w:after="0" w:line="240" w:lineRule="auto"/>
        <w:rPr>
          <w:rFonts w:asciiTheme="majorHAnsi" w:hAnsiTheme="majorHAnsi" w:cstheme="majorHAnsi"/>
          <w:b/>
          <w:bCs/>
        </w:rPr>
      </w:pPr>
    </w:p>
    <w:p w14:paraId="4E687A90" w14:textId="77777777" w:rsidR="005B2389" w:rsidRPr="00A3309F" w:rsidRDefault="005B2389" w:rsidP="005B2389">
      <w:pPr>
        <w:spacing w:after="0" w:line="240" w:lineRule="auto"/>
        <w:rPr>
          <w:rFonts w:asciiTheme="majorHAnsi" w:hAnsiTheme="majorHAnsi" w:cstheme="majorHAnsi"/>
        </w:rPr>
      </w:pPr>
    </w:p>
    <w:p w14:paraId="1932C626" w14:textId="28A42364" w:rsidR="005B2389" w:rsidRPr="00A3309F" w:rsidRDefault="005B2389" w:rsidP="005B2389">
      <w:pPr>
        <w:spacing w:after="0" w:line="240" w:lineRule="auto"/>
        <w:rPr>
          <w:rFonts w:asciiTheme="majorHAnsi" w:hAnsiTheme="majorHAnsi" w:cstheme="majorHAnsi"/>
          <w:b/>
          <w:bCs/>
        </w:rPr>
      </w:pPr>
      <w:r w:rsidRPr="00A3309F">
        <w:rPr>
          <w:rFonts w:asciiTheme="majorHAnsi" w:hAnsiTheme="majorHAnsi" w:cstheme="majorHAnsi"/>
          <w:b/>
          <w:bCs/>
        </w:rPr>
        <w:t>Nom de l’organisation participante :  Compartir</w:t>
      </w:r>
    </w:p>
    <w:p w14:paraId="4BE85F7E" w14:textId="55F147FD" w:rsidR="005B2389" w:rsidRPr="00A3309F" w:rsidRDefault="005B2389" w:rsidP="005B2389">
      <w:pPr>
        <w:spacing w:after="0" w:line="240" w:lineRule="auto"/>
        <w:rPr>
          <w:rFonts w:asciiTheme="majorHAnsi" w:hAnsiTheme="majorHAnsi" w:cstheme="majorHAnsi"/>
          <w:b/>
          <w:bCs/>
        </w:rPr>
      </w:pPr>
      <w:r w:rsidRPr="00A3309F">
        <w:rPr>
          <w:rFonts w:asciiTheme="majorHAnsi" w:hAnsiTheme="majorHAnsi" w:cstheme="majorHAnsi"/>
          <w:b/>
          <w:bCs/>
        </w:rPr>
        <w:t>Nom des / de la personne représentant l’organisation : Rosa Maria &amp; Anibal</w:t>
      </w:r>
    </w:p>
    <w:p w14:paraId="2CA44DC0" w14:textId="0F74B318" w:rsidR="005B2389" w:rsidRPr="00A3309F" w:rsidRDefault="005B2389" w:rsidP="005B2389">
      <w:pPr>
        <w:spacing w:after="0" w:line="240" w:lineRule="auto"/>
        <w:rPr>
          <w:rFonts w:asciiTheme="majorHAnsi" w:hAnsiTheme="majorHAnsi" w:cstheme="majorHAnsi"/>
          <w:b/>
          <w:bCs/>
        </w:rPr>
      </w:pPr>
      <w:r w:rsidRPr="00A3309F">
        <w:rPr>
          <w:rFonts w:asciiTheme="majorHAnsi" w:hAnsiTheme="majorHAnsi" w:cstheme="majorHAnsi"/>
          <w:b/>
          <w:bCs/>
        </w:rPr>
        <w:t>Pays :  Honduras</w:t>
      </w:r>
    </w:p>
    <w:p w14:paraId="36478496" w14:textId="0B075BD1" w:rsidR="005B2389" w:rsidRPr="00A3309F" w:rsidRDefault="005B2389" w:rsidP="005B2389">
      <w:pPr>
        <w:rPr>
          <w:rFonts w:asciiTheme="majorHAnsi" w:hAnsiTheme="majorHAnsi" w:cstheme="majorHAnsi"/>
          <w:b/>
          <w:bCs/>
        </w:rPr>
      </w:pPr>
      <w:r w:rsidRPr="00A3309F">
        <w:rPr>
          <w:rFonts w:asciiTheme="majorHAnsi" w:hAnsiTheme="majorHAnsi" w:cstheme="majorHAnsi"/>
          <w:b/>
          <w:bCs/>
        </w:rPr>
        <w:t xml:space="preserve">Nombre de cas de COVID-19 dans le pays :  </w:t>
      </w:r>
    </w:p>
    <w:p w14:paraId="01A510C0" w14:textId="77777777" w:rsidR="00A3309F" w:rsidRPr="00A3309F" w:rsidRDefault="00A3309F" w:rsidP="00A3309F">
      <w:pPr>
        <w:rPr>
          <w:rFonts w:asciiTheme="majorHAnsi" w:eastAsia="Times New Roman" w:hAnsiTheme="majorHAnsi" w:cstheme="majorHAnsi"/>
          <w:lang w:eastAsia="fr-FR"/>
        </w:rPr>
      </w:pPr>
      <w:r w:rsidRPr="00A3309F">
        <w:rPr>
          <w:rFonts w:asciiTheme="majorHAnsi" w:eastAsia="Times New Roman" w:hAnsiTheme="majorHAnsi" w:cstheme="majorHAnsi"/>
          <w:lang w:eastAsia="fr-FR"/>
        </w:rPr>
        <w:t xml:space="preserve">Total, des cas positifs au niveau national : 60 174 (SINAGER 2020) données cumulées de mars au 31 août 2020 </w:t>
      </w:r>
    </w:p>
    <w:p w14:paraId="34804807" w14:textId="19E47076" w:rsidR="00A3309F" w:rsidRPr="00A3309F" w:rsidRDefault="00A3309F" w:rsidP="00A3309F">
      <w:pPr>
        <w:rPr>
          <w:rFonts w:asciiTheme="majorHAnsi" w:eastAsia="Times New Roman" w:hAnsiTheme="majorHAnsi" w:cstheme="majorHAnsi"/>
          <w:lang w:eastAsia="fr-FR"/>
        </w:rPr>
      </w:pPr>
      <w:r w:rsidRPr="00A3309F">
        <w:rPr>
          <w:rFonts w:asciiTheme="majorHAnsi" w:eastAsia="Times New Roman" w:hAnsiTheme="majorHAnsi" w:cstheme="majorHAnsi"/>
          <w:lang w:eastAsia="fr-FR"/>
        </w:rPr>
        <w:t xml:space="preserve">19 582 sont des enfants âgés de 0 à 30 ans, soit 32,5 % de la population infectée par le COVID-19. </w:t>
      </w:r>
    </w:p>
    <w:p w14:paraId="385809D0" w14:textId="77777777" w:rsidR="00A3309F" w:rsidRPr="00A3309F" w:rsidRDefault="00A3309F" w:rsidP="00A3309F">
      <w:pPr>
        <w:rPr>
          <w:rFonts w:asciiTheme="majorHAnsi" w:eastAsia="Times New Roman" w:hAnsiTheme="majorHAnsi" w:cstheme="majorHAnsi"/>
          <w:lang w:eastAsia="fr-FR"/>
        </w:rPr>
      </w:pPr>
      <w:r w:rsidRPr="00A3309F">
        <w:rPr>
          <w:rFonts w:asciiTheme="majorHAnsi" w:eastAsia="Times New Roman" w:hAnsiTheme="majorHAnsi" w:cstheme="majorHAnsi"/>
          <w:lang w:eastAsia="fr-FR"/>
        </w:rPr>
        <w:t>Nombre total de cas de jeunes : 15 992 (femmes : 7 402, hommes : 8 590)</w:t>
      </w:r>
    </w:p>
    <w:p w14:paraId="247D4AAA" w14:textId="77777777" w:rsidR="00A3309F" w:rsidRPr="00A3309F" w:rsidRDefault="00A3309F" w:rsidP="00A3309F">
      <w:pPr>
        <w:rPr>
          <w:rFonts w:asciiTheme="majorHAnsi" w:eastAsia="Times New Roman" w:hAnsiTheme="majorHAnsi" w:cstheme="majorHAnsi"/>
          <w:lang w:eastAsia="fr-FR"/>
        </w:rPr>
      </w:pPr>
      <w:r w:rsidRPr="00A3309F">
        <w:rPr>
          <w:rFonts w:asciiTheme="majorHAnsi" w:eastAsia="Times New Roman" w:hAnsiTheme="majorHAnsi" w:cstheme="majorHAnsi"/>
          <w:lang w:eastAsia="fr-FR"/>
        </w:rPr>
        <w:t>Total des cas d'enfants : 3 590 (filles : 1 923, garçons : 1 667)</w:t>
      </w:r>
    </w:p>
    <w:p w14:paraId="75A632AC" w14:textId="77777777" w:rsidR="00A3309F" w:rsidRPr="00A3309F" w:rsidRDefault="00A3309F" w:rsidP="00A3309F">
      <w:pPr>
        <w:rPr>
          <w:rFonts w:asciiTheme="majorHAnsi" w:eastAsia="Times New Roman" w:hAnsiTheme="majorHAnsi" w:cstheme="majorHAnsi"/>
          <w:lang w:eastAsia="fr-FR"/>
        </w:rPr>
      </w:pPr>
      <w:r w:rsidRPr="00A3309F">
        <w:rPr>
          <w:rFonts w:asciiTheme="majorHAnsi" w:eastAsia="Times New Roman" w:hAnsiTheme="majorHAnsi" w:cstheme="majorHAnsi"/>
          <w:lang w:eastAsia="fr-FR"/>
        </w:rPr>
        <w:t xml:space="preserve">Nombre total de décès au niveau national 1 858 (3,09 % de la mortalité). </w:t>
      </w:r>
    </w:p>
    <w:p w14:paraId="345A07F7" w14:textId="03F2E54D" w:rsidR="005B2389" w:rsidRPr="00A3309F" w:rsidRDefault="00A3309F" w:rsidP="00A3309F">
      <w:pPr>
        <w:rPr>
          <w:rFonts w:asciiTheme="majorHAnsi" w:eastAsia="Times New Roman" w:hAnsiTheme="majorHAnsi" w:cstheme="majorHAnsi"/>
          <w:color w:val="000000"/>
          <w:lang w:eastAsia="fr-FR"/>
        </w:rPr>
      </w:pPr>
      <w:r w:rsidRPr="00A3309F">
        <w:rPr>
          <w:rFonts w:asciiTheme="majorHAnsi" w:eastAsia="Times New Roman" w:hAnsiTheme="majorHAnsi" w:cstheme="majorHAnsi"/>
          <w:lang w:eastAsia="fr-FR"/>
        </w:rPr>
        <w:t xml:space="preserve">Les données présentées par le gouvernement ne représentent pas nécessairement la réalité de la pandémie, ont peu de crédibilité en raison de la sous-déclaration des données, il y a des décès de personnes positives et asymptomatiques par COVID-19 que pour des raisons de stigmatisation la population ne déclare pas, en plus de la manipulation des données par manque de preuves qui montrent moins de cas qu'il ne le faudrait selon les opinions qualifiées sur le sujet.  </w:t>
      </w:r>
    </w:p>
    <w:p w14:paraId="70B62D0E" w14:textId="77777777" w:rsidR="005B2389" w:rsidRPr="00A3309F" w:rsidRDefault="005B2389" w:rsidP="005B2389">
      <w:pPr>
        <w:spacing w:after="0" w:line="240" w:lineRule="auto"/>
        <w:rPr>
          <w:rFonts w:asciiTheme="majorHAnsi" w:hAnsiTheme="majorHAnsi" w:cstheme="majorHAnsi"/>
          <w:b/>
          <w:bCs/>
        </w:rPr>
      </w:pPr>
      <w:r w:rsidRPr="00A3309F">
        <w:rPr>
          <w:rFonts w:asciiTheme="majorHAnsi" w:hAnsiTheme="majorHAnsi" w:cstheme="majorHAnsi"/>
          <w:b/>
          <w:bCs/>
        </w:rPr>
        <w:tab/>
      </w:r>
    </w:p>
    <w:p w14:paraId="17EB65A1" w14:textId="77777777" w:rsidR="005B2389" w:rsidRPr="000500AA" w:rsidRDefault="005B2389" w:rsidP="005B2389">
      <w:pPr>
        <w:spacing w:after="0" w:line="240" w:lineRule="auto"/>
        <w:rPr>
          <w:rFonts w:asciiTheme="majorHAnsi" w:hAnsiTheme="majorHAnsi" w:cstheme="majorHAnsi"/>
          <w:b/>
          <w:bCs/>
        </w:rPr>
      </w:pPr>
      <w:r w:rsidRPr="000500AA">
        <w:rPr>
          <w:rFonts w:asciiTheme="majorHAnsi" w:hAnsiTheme="majorHAnsi" w:cstheme="majorHAnsi"/>
          <w:b/>
          <w:bCs/>
        </w:rPr>
        <w:t xml:space="preserve">Contexte pays : </w:t>
      </w:r>
      <w:r w:rsidRPr="000500AA">
        <w:rPr>
          <w:rFonts w:asciiTheme="majorHAnsi" w:hAnsiTheme="majorHAnsi" w:cstheme="majorHAnsi"/>
          <w:i/>
          <w:iCs/>
          <w:color w:val="2F5496" w:themeColor="accent5" w:themeShade="BF"/>
        </w:rPr>
        <w:t>(200 mots max)</w:t>
      </w:r>
    </w:p>
    <w:p w14:paraId="193A2890" w14:textId="77777777" w:rsidR="005B2389" w:rsidRPr="000500AA" w:rsidRDefault="005B2389" w:rsidP="005B2389">
      <w:pPr>
        <w:spacing w:after="0" w:line="240" w:lineRule="auto"/>
        <w:rPr>
          <w:rFonts w:asciiTheme="majorHAnsi" w:hAnsiTheme="majorHAnsi" w:cstheme="majorHAnsi"/>
          <w:b/>
          <w:bCs/>
        </w:rPr>
      </w:pPr>
    </w:p>
    <w:p w14:paraId="67D641EA" w14:textId="77777777" w:rsidR="00A3309F" w:rsidRPr="00A3309F" w:rsidRDefault="00A3309F" w:rsidP="00A3309F">
      <w:pPr>
        <w:spacing w:after="0" w:line="240" w:lineRule="auto"/>
        <w:rPr>
          <w:rFonts w:asciiTheme="majorHAnsi" w:eastAsia="Times New Roman" w:hAnsiTheme="majorHAnsi" w:cstheme="majorHAnsi"/>
          <w:lang w:eastAsia="fr-FR"/>
        </w:rPr>
      </w:pPr>
      <w:r w:rsidRPr="00A3309F">
        <w:rPr>
          <w:rFonts w:asciiTheme="majorHAnsi" w:eastAsia="Times New Roman" w:hAnsiTheme="majorHAnsi" w:cstheme="majorHAnsi"/>
          <w:lang w:eastAsia="fr-FR"/>
        </w:rPr>
        <w:t>Selon la Banque centrale du Honduras, l'économie du pays représentera entre 7 et 8 % du produit intérieur brut (PIB). Toutefois, malgré les urgences financières, la réouverture de l'économie dans tous les secteurs bancaires et commerciaux sera progressive, en veillant à ce que le personnel soit formé selon les protocoles officiels de biosécurité pour éviter une résurgence des cas. De même, la variation mensuelle enregistrée dans l'indice des prix à la consommation (IPC) en août 2020 était de 0. 18 %, soit une hausse par rapport à la situation observée il y a douze mois (0,06 %), résultat qui s'explique principalement par la hausse des prix des transports, du carburant pour les véhicules et à usage domestique, ainsi que des produits de santé ; néanmoins, au cours du mois, une baisse du prix de certaines denrées alimentaires a été observée, principalement d'origine agricole, en raison du début des récoltes.</w:t>
      </w:r>
    </w:p>
    <w:p w14:paraId="21ABA4EC" w14:textId="77777777" w:rsidR="00A3309F" w:rsidRPr="00A3309F" w:rsidRDefault="00A3309F" w:rsidP="00A3309F">
      <w:pPr>
        <w:spacing w:after="0" w:line="240" w:lineRule="auto"/>
        <w:rPr>
          <w:rFonts w:asciiTheme="majorHAnsi" w:eastAsia="Times New Roman" w:hAnsiTheme="majorHAnsi" w:cstheme="majorHAnsi"/>
          <w:lang w:eastAsia="fr-FR"/>
        </w:rPr>
      </w:pPr>
      <w:r w:rsidRPr="00A3309F">
        <w:rPr>
          <w:rFonts w:asciiTheme="majorHAnsi" w:eastAsia="Times New Roman" w:hAnsiTheme="majorHAnsi" w:cstheme="majorHAnsi"/>
          <w:lang w:eastAsia="fr-FR"/>
        </w:rPr>
        <w:t>Actuellement, l'économie a été réactivée dans la phase I avec la réouverture sûre et intelligente, en approuvant l'incorporation de 20% du personnel dans les institutions suivantes ; banques, pharmacies, supermarchés, quincailleries, stations d'essence et institutions publiques, les institutions éducatives par leurs caractéristiques seront les dernières à s'ouvrir dans la modalité de présence et pour lesquelles la stratégie définie à cet effet sera appliquée.</w:t>
      </w:r>
    </w:p>
    <w:p w14:paraId="50E2AF53" w14:textId="77777777" w:rsidR="00A3309F" w:rsidRPr="00A3309F" w:rsidRDefault="00A3309F" w:rsidP="00A3309F">
      <w:pPr>
        <w:spacing w:after="0" w:line="240" w:lineRule="auto"/>
        <w:rPr>
          <w:rFonts w:asciiTheme="majorHAnsi" w:eastAsia="Times New Roman" w:hAnsiTheme="majorHAnsi" w:cstheme="majorHAnsi"/>
          <w:lang w:eastAsia="fr-FR"/>
        </w:rPr>
      </w:pPr>
    </w:p>
    <w:p w14:paraId="236CE8D5" w14:textId="77777777" w:rsidR="00A3309F" w:rsidRPr="00A3309F" w:rsidRDefault="00A3309F" w:rsidP="00A3309F">
      <w:pPr>
        <w:spacing w:after="0" w:line="240" w:lineRule="auto"/>
        <w:rPr>
          <w:rFonts w:asciiTheme="majorHAnsi" w:eastAsia="Times New Roman" w:hAnsiTheme="majorHAnsi" w:cstheme="majorHAnsi"/>
          <w:lang w:eastAsia="fr-FR"/>
        </w:rPr>
      </w:pPr>
      <w:r w:rsidRPr="00A3309F">
        <w:rPr>
          <w:rFonts w:asciiTheme="majorHAnsi" w:eastAsia="Times New Roman" w:hAnsiTheme="majorHAnsi" w:cstheme="majorHAnsi"/>
          <w:lang w:eastAsia="fr-FR"/>
        </w:rPr>
        <w:t>Toutefois, l'aspect le plus dramatique de la situation est l'absence de politique d'urgence de la part des institutions de l'État chargées des droits de l'homme pour sauvegarder la vie des défenseurs des droits de l'homme et assurer la coexistence pacifique des communautés indigènes.</w:t>
      </w:r>
    </w:p>
    <w:p w14:paraId="242CF984" w14:textId="77777777" w:rsidR="00A3309F" w:rsidRPr="00A3309F" w:rsidRDefault="00A3309F" w:rsidP="00A3309F">
      <w:pPr>
        <w:spacing w:after="0" w:line="240" w:lineRule="auto"/>
        <w:rPr>
          <w:rFonts w:asciiTheme="majorHAnsi" w:eastAsia="Times New Roman" w:hAnsiTheme="majorHAnsi" w:cstheme="majorHAnsi"/>
          <w:lang w:eastAsia="fr-FR"/>
        </w:rPr>
      </w:pPr>
      <w:r w:rsidRPr="00A3309F">
        <w:rPr>
          <w:rFonts w:asciiTheme="majorHAnsi" w:eastAsia="Times New Roman" w:hAnsiTheme="majorHAnsi" w:cstheme="majorHAnsi"/>
          <w:lang w:eastAsia="fr-FR"/>
        </w:rPr>
        <w:lastRenderedPageBreak/>
        <w:t>En bref, l'état d'urgence a ouvert un nouveau cycle de violence et a aggravé la crise des droits de l'homme dans les territoires, tandis que les forces étatiques et non étatiques se battent avec les communautés pour le territoire.</w:t>
      </w:r>
    </w:p>
    <w:p w14:paraId="6C6CF107" w14:textId="77777777" w:rsidR="00A3309F" w:rsidRPr="00A3309F" w:rsidRDefault="00A3309F" w:rsidP="00A3309F">
      <w:pPr>
        <w:spacing w:after="0" w:line="240" w:lineRule="auto"/>
        <w:rPr>
          <w:rFonts w:asciiTheme="majorHAnsi" w:eastAsia="Times New Roman" w:hAnsiTheme="majorHAnsi" w:cstheme="majorHAnsi"/>
          <w:lang w:eastAsia="fr-FR"/>
        </w:rPr>
      </w:pPr>
      <w:r w:rsidRPr="00A3309F">
        <w:rPr>
          <w:rFonts w:asciiTheme="majorHAnsi" w:eastAsia="Times New Roman" w:hAnsiTheme="majorHAnsi" w:cstheme="majorHAnsi"/>
          <w:lang w:eastAsia="fr-FR"/>
        </w:rPr>
        <w:t xml:space="preserve">La violence actuelle dans les territoires a des causes diverses : (i) déni des droits de l'homme et des droits naturels, (ii) mesures de police en quarantaine, (iii) remilitarisation des territoires dans la lutte contre les industries extractives, (iv) offensive réactionnaire des forces non étatiques liées aux entreprises extractives et au crime organisé, (v) impunité et incompétence du système policier et judiciaire, entre autres. </w:t>
      </w:r>
    </w:p>
    <w:p w14:paraId="2A677C9A" w14:textId="77777777" w:rsidR="00A3309F" w:rsidRPr="00A3309F" w:rsidRDefault="00A3309F" w:rsidP="00A3309F">
      <w:pPr>
        <w:spacing w:after="0" w:line="240" w:lineRule="auto"/>
        <w:rPr>
          <w:rFonts w:asciiTheme="majorHAnsi" w:eastAsia="Times New Roman" w:hAnsiTheme="majorHAnsi" w:cstheme="majorHAnsi"/>
          <w:lang w:eastAsia="fr-FR"/>
        </w:rPr>
      </w:pPr>
    </w:p>
    <w:p w14:paraId="6732D628" w14:textId="7D361F1C" w:rsidR="005B2389" w:rsidRPr="00A3309F" w:rsidRDefault="00A3309F" w:rsidP="00A3309F">
      <w:pPr>
        <w:spacing w:after="0" w:line="240" w:lineRule="auto"/>
        <w:rPr>
          <w:rFonts w:asciiTheme="majorHAnsi" w:eastAsia="Times New Roman" w:hAnsiTheme="majorHAnsi" w:cstheme="majorHAnsi"/>
          <w:lang w:eastAsia="fr-FR"/>
        </w:rPr>
      </w:pPr>
      <w:r w:rsidRPr="00A3309F">
        <w:rPr>
          <w:rFonts w:asciiTheme="majorHAnsi" w:eastAsia="Times New Roman" w:hAnsiTheme="majorHAnsi" w:cstheme="majorHAnsi"/>
          <w:lang w:eastAsia="fr-FR"/>
        </w:rPr>
        <w:t>Enfin, la corruption qui est générée, reproduite et légitimée par tout un système politique et culturel se distingue : le Congrès national, le monde universitaire, divers secteurs intellectuels, les partis politiques, la justice et les médias, comme en témoigne notamment la gestion inadéquate des fonds d'urgence par la COVID-19</w:t>
      </w:r>
    </w:p>
    <w:p w14:paraId="2054693D" w14:textId="77777777" w:rsidR="00A3309F" w:rsidRPr="00A3309F" w:rsidRDefault="00A3309F" w:rsidP="00A3309F">
      <w:pPr>
        <w:spacing w:after="0" w:line="240" w:lineRule="auto"/>
        <w:rPr>
          <w:rFonts w:asciiTheme="majorHAnsi" w:hAnsiTheme="majorHAnsi" w:cstheme="majorHAnsi"/>
          <w:b/>
          <w:bCs/>
        </w:rPr>
      </w:pPr>
    </w:p>
    <w:p w14:paraId="244E9F10" w14:textId="77777777" w:rsidR="005B2389" w:rsidRPr="00A3309F" w:rsidRDefault="005B2389" w:rsidP="005B2389">
      <w:pPr>
        <w:spacing w:after="0" w:line="240" w:lineRule="auto"/>
        <w:rPr>
          <w:rFonts w:asciiTheme="majorHAnsi" w:hAnsiTheme="majorHAnsi" w:cstheme="majorHAnsi"/>
          <w:b/>
          <w:bCs/>
        </w:rPr>
      </w:pPr>
      <w:r w:rsidRPr="00A3309F">
        <w:rPr>
          <w:rFonts w:asciiTheme="majorHAnsi" w:hAnsiTheme="majorHAnsi" w:cstheme="majorHAnsi"/>
          <w:b/>
          <w:bCs/>
        </w:rPr>
        <w:t xml:space="preserve">Activités mises en place et prévues par l’organisation : </w:t>
      </w:r>
      <w:r w:rsidRPr="00A3309F">
        <w:rPr>
          <w:rFonts w:asciiTheme="majorHAnsi" w:hAnsiTheme="majorHAnsi" w:cstheme="majorHAnsi"/>
          <w:i/>
          <w:iCs/>
          <w:color w:val="2F5496" w:themeColor="accent5" w:themeShade="BF"/>
        </w:rPr>
        <w:t>(200 mots max)</w:t>
      </w:r>
    </w:p>
    <w:p w14:paraId="6FC76694" w14:textId="77777777" w:rsidR="00A3309F" w:rsidRPr="00A3309F" w:rsidRDefault="00A3309F" w:rsidP="00A3309F">
      <w:pPr>
        <w:spacing w:after="240" w:line="240" w:lineRule="auto"/>
        <w:rPr>
          <w:rFonts w:asciiTheme="majorHAnsi" w:eastAsia="Times New Roman" w:hAnsiTheme="majorHAnsi" w:cstheme="majorHAnsi"/>
          <w:lang w:eastAsia="fr-FR"/>
        </w:rPr>
      </w:pPr>
      <w:r w:rsidRPr="00A3309F">
        <w:rPr>
          <w:rFonts w:asciiTheme="majorHAnsi" w:eastAsia="Times New Roman" w:hAnsiTheme="majorHAnsi" w:cstheme="majorHAnsi"/>
          <w:lang w:eastAsia="fr-FR"/>
        </w:rPr>
        <w:t>Le gouvernement de la République a défini la stratégie pour le retour en toute sécurité aux centres d'éducation gouvernementaux et non gouvernementaux</w:t>
      </w:r>
    </w:p>
    <w:p w14:paraId="4FB73347" w14:textId="77777777" w:rsidR="00A3309F" w:rsidRPr="00A3309F" w:rsidRDefault="00A3309F" w:rsidP="00A3309F">
      <w:pPr>
        <w:spacing w:after="240" w:line="240" w:lineRule="auto"/>
        <w:rPr>
          <w:rFonts w:asciiTheme="majorHAnsi" w:eastAsia="Times New Roman" w:hAnsiTheme="majorHAnsi" w:cstheme="majorHAnsi"/>
          <w:lang w:eastAsia="fr-FR"/>
        </w:rPr>
      </w:pPr>
      <w:r w:rsidRPr="00A3309F">
        <w:rPr>
          <w:rFonts w:asciiTheme="majorHAnsi" w:eastAsia="Times New Roman" w:hAnsiTheme="majorHAnsi" w:cstheme="majorHAnsi"/>
          <w:lang w:eastAsia="fr-FR"/>
        </w:rPr>
        <w:t>Gouvernement en réponse à la crise COVID-19 au Honduras.</w:t>
      </w:r>
    </w:p>
    <w:p w14:paraId="4236F9D8" w14:textId="77777777" w:rsidR="00A3309F" w:rsidRPr="00A3309F" w:rsidRDefault="00A3309F" w:rsidP="00A3309F">
      <w:pPr>
        <w:spacing w:after="240" w:line="240" w:lineRule="auto"/>
        <w:rPr>
          <w:rFonts w:asciiTheme="majorHAnsi" w:eastAsia="Times New Roman" w:hAnsiTheme="majorHAnsi" w:cstheme="majorHAnsi"/>
          <w:lang w:eastAsia="fr-FR"/>
        </w:rPr>
      </w:pPr>
      <w:r w:rsidRPr="00A3309F">
        <w:rPr>
          <w:rFonts w:asciiTheme="majorHAnsi" w:eastAsia="Times New Roman" w:hAnsiTheme="majorHAnsi" w:cstheme="majorHAnsi"/>
          <w:lang w:eastAsia="fr-FR"/>
        </w:rPr>
        <w:t xml:space="preserve">Dans ce sens, le Secrétariat d'État à l'éducation s'engage à créer des environnements d'apprentissage sûrs pour la mise en œuvre de la stratégie, en prenant comme point de référence central les critères épidémiologiques et géographiques pour orienter la réponse éducative dans les différentes régions, départements, municipalités, localités ou centres éducatifs. </w:t>
      </w:r>
    </w:p>
    <w:p w14:paraId="521B9F25" w14:textId="77777777" w:rsidR="00A3309F" w:rsidRPr="00A3309F" w:rsidRDefault="00A3309F" w:rsidP="00A3309F">
      <w:pPr>
        <w:spacing w:after="240" w:line="240" w:lineRule="auto"/>
        <w:rPr>
          <w:rFonts w:asciiTheme="majorHAnsi" w:eastAsia="Times New Roman" w:hAnsiTheme="majorHAnsi" w:cstheme="majorHAnsi"/>
          <w:lang w:eastAsia="fr-FR"/>
        </w:rPr>
      </w:pPr>
      <w:r w:rsidRPr="00A3309F">
        <w:rPr>
          <w:rFonts w:asciiTheme="majorHAnsi" w:eastAsia="Times New Roman" w:hAnsiTheme="majorHAnsi" w:cstheme="majorHAnsi"/>
          <w:lang w:eastAsia="fr-FR"/>
        </w:rPr>
        <w:t>À cette fin, la mise en œuvre de la stratégie est divisée en trois phases consécutives : la phase préparatoire, la phase de transition et la phase de stabilisation, qui seront réalisées au moyen de trois lignes d'action principales, qui seront intégrées dans le développement de chacune des phases susmentionnées ; celles-ci comprennent Biosécurité, soins psychosociaux et enseignement-apprentissage</w:t>
      </w:r>
    </w:p>
    <w:p w14:paraId="08B539D1" w14:textId="77777777" w:rsidR="00A3309F" w:rsidRPr="00A3309F" w:rsidRDefault="00A3309F" w:rsidP="00A3309F">
      <w:pPr>
        <w:spacing w:after="240" w:line="240" w:lineRule="auto"/>
        <w:rPr>
          <w:rFonts w:asciiTheme="majorHAnsi" w:eastAsia="Times New Roman" w:hAnsiTheme="majorHAnsi" w:cstheme="majorHAnsi"/>
          <w:lang w:eastAsia="fr-FR"/>
        </w:rPr>
      </w:pPr>
      <w:r w:rsidRPr="00A3309F">
        <w:rPr>
          <w:rFonts w:asciiTheme="majorHAnsi" w:eastAsia="Times New Roman" w:hAnsiTheme="majorHAnsi" w:cstheme="majorHAnsi"/>
          <w:lang w:eastAsia="fr-FR"/>
        </w:rPr>
        <w:t xml:space="preserve">Selon l'information socialisée officieusement pour l'année 2020, le processus éducatif continuera à être développé dans la modalité virtuelle ayant comme moyens les plateformes d'Internet, d'autre part il a été communiqué que le retour à tous les NNA devrait être permis, dans le but de diminuer les taux de désertion, de même la possibilité est analysée de faire une promotion automatique à la classe suivante.   </w:t>
      </w:r>
    </w:p>
    <w:p w14:paraId="2B77C591" w14:textId="77777777" w:rsidR="00A3309F" w:rsidRPr="00A3309F" w:rsidRDefault="00A3309F" w:rsidP="00A3309F">
      <w:pPr>
        <w:spacing w:after="240" w:line="240" w:lineRule="auto"/>
        <w:rPr>
          <w:rFonts w:asciiTheme="majorHAnsi" w:eastAsia="Times New Roman" w:hAnsiTheme="majorHAnsi" w:cstheme="majorHAnsi"/>
          <w:lang w:eastAsia="fr-FR"/>
        </w:rPr>
      </w:pPr>
      <w:r w:rsidRPr="00A3309F">
        <w:rPr>
          <w:rFonts w:asciiTheme="majorHAnsi" w:eastAsia="Times New Roman" w:hAnsiTheme="majorHAnsi" w:cstheme="majorHAnsi"/>
          <w:lang w:eastAsia="fr-FR"/>
        </w:rPr>
        <w:t xml:space="preserve">Pour soutenir cette stratégie, l'Asociación Compartir assure le suivi des 2 300 enfants enregistrés dans la base de données, dont 1 027 de la première à la sixième année bénéficient d'un tutorat éducatif. </w:t>
      </w:r>
    </w:p>
    <w:p w14:paraId="2CE31FD2" w14:textId="77777777" w:rsidR="00A3309F" w:rsidRPr="00A3309F" w:rsidRDefault="00A3309F" w:rsidP="00A3309F">
      <w:pPr>
        <w:spacing w:after="240" w:line="240" w:lineRule="auto"/>
        <w:rPr>
          <w:rFonts w:asciiTheme="majorHAnsi" w:eastAsia="Times New Roman" w:hAnsiTheme="majorHAnsi" w:cstheme="majorHAnsi"/>
          <w:lang w:eastAsia="fr-FR"/>
        </w:rPr>
      </w:pPr>
      <w:r w:rsidRPr="00A3309F">
        <w:rPr>
          <w:rFonts w:asciiTheme="majorHAnsi" w:eastAsia="Times New Roman" w:hAnsiTheme="majorHAnsi" w:cstheme="majorHAnsi"/>
          <w:lang w:eastAsia="fr-FR"/>
        </w:rPr>
        <w:t xml:space="preserve">Malgré la suspension des activités en face à face, une stratégie de rotation du personnel a été définie afin de poursuivre les activités et les contacts avec les participants, notamment avec la direction organisée par la COFABA, les volontaires de la communauté qui facilitent les mécanismes pour continuer à fournir des services, en alternance avec le mode à distance. </w:t>
      </w:r>
    </w:p>
    <w:p w14:paraId="20489475" w14:textId="77777777" w:rsidR="00A3309F" w:rsidRPr="00A3309F" w:rsidRDefault="00A3309F" w:rsidP="00A3309F">
      <w:pPr>
        <w:spacing w:after="240" w:line="240" w:lineRule="auto"/>
        <w:rPr>
          <w:rFonts w:asciiTheme="majorHAnsi" w:eastAsia="Times New Roman" w:hAnsiTheme="majorHAnsi" w:cstheme="majorHAnsi"/>
          <w:lang w:eastAsia="fr-FR"/>
        </w:rPr>
      </w:pPr>
      <w:r w:rsidRPr="00A3309F">
        <w:rPr>
          <w:rFonts w:asciiTheme="majorHAnsi" w:eastAsia="Times New Roman" w:hAnsiTheme="majorHAnsi" w:cstheme="majorHAnsi"/>
          <w:lang w:eastAsia="fr-FR"/>
        </w:rPr>
        <w:t xml:space="preserve">La personne qui fréquente les centres communautaires maintient le centre ouvert et fournit des informations générales à la population qui en a besoin. </w:t>
      </w:r>
    </w:p>
    <w:p w14:paraId="1B7405D4" w14:textId="77777777" w:rsidR="00A3309F" w:rsidRPr="00A3309F" w:rsidRDefault="00A3309F" w:rsidP="00A3309F">
      <w:pPr>
        <w:spacing w:after="240" w:line="240" w:lineRule="auto"/>
        <w:rPr>
          <w:rFonts w:asciiTheme="majorHAnsi" w:eastAsia="Times New Roman" w:hAnsiTheme="majorHAnsi" w:cstheme="majorHAnsi"/>
          <w:lang w:eastAsia="fr-FR"/>
        </w:rPr>
      </w:pPr>
      <w:r w:rsidRPr="00A3309F">
        <w:rPr>
          <w:rFonts w:asciiTheme="majorHAnsi" w:eastAsia="Times New Roman" w:hAnsiTheme="majorHAnsi" w:cstheme="majorHAnsi"/>
          <w:lang w:eastAsia="fr-FR"/>
        </w:rPr>
        <w:t xml:space="preserve">L'un des effets positifs est d'avoir obtenu une plus grande intégration des parents dans les processus éducatifs des enfants et des adolescents.  D'autre part, en raison des besoins, la population utilise davantage les technologies de l'information et de la communication, dont Compartir dispose d'un centre internet ouvert à la communauté.  </w:t>
      </w:r>
    </w:p>
    <w:p w14:paraId="4D1047C4" w14:textId="77777777" w:rsidR="00A3309F" w:rsidRPr="00A3309F" w:rsidRDefault="00A3309F" w:rsidP="00A3309F">
      <w:pPr>
        <w:spacing w:after="240" w:line="240" w:lineRule="auto"/>
        <w:rPr>
          <w:rFonts w:asciiTheme="majorHAnsi" w:eastAsia="Times New Roman" w:hAnsiTheme="majorHAnsi" w:cstheme="majorHAnsi"/>
          <w:lang w:eastAsia="fr-FR"/>
        </w:rPr>
      </w:pPr>
      <w:r w:rsidRPr="00A3309F">
        <w:rPr>
          <w:rFonts w:asciiTheme="majorHAnsi" w:eastAsia="Times New Roman" w:hAnsiTheme="majorHAnsi" w:cstheme="majorHAnsi"/>
          <w:lang w:eastAsia="fr-FR"/>
        </w:rPr>
        <w:lastRenderedPageBreak/>
        <w:t xml:space="preserve">Gestion dans les centres de santé, </w:t>
      </w:r>
    </w:p>
    <w:p w14:paraId="049E1B6C" w14:textId="77777777" w:rsidR="00A3309F" w:rsidRPr="00A3309F" w:rsidRDefault="00A3309F" w:rsidP="00A3309F">
      <w:pPr>
        <w:spacing w:after="240" w:line="240" w:lineRule="auto"/>
        <w:rPr>
          <w:rFonts w:asciiTheme="majorHAnsi" w:eastAsia="Times New Roman" w:hAnsiTheme="majorHAnsi" w:cstheme="majorHAnsi"/>
          <w:lang w:eastAsia="fr-FR"/>
        </w:rPr>
      </w:pPr>
      <w:r w:rsidRPr="00A3309F">
        <w:rPr>
          <w:rFonts w:asciiTheme="majorHAnsi" w:eastAsia="Times New Roman" w:hAnsiTheme="majorHAnsi" w:cstheme="majorHAnsi"/>
          <w:lang w:eastAsia="fr-FR"/>
        </w:rPr>
        <w:t xml:space="preserve">Dès le début de la synergie, les relations de coordination avec les Centres de Santé Intégrale des trois communautés ont été renforcées, permettant le développement des campagnes médicales.   </w:t>
      </w:r>
    </w:p>
    <w:p w14:paraId="48B6DF73" w14:textId="408EC352" w:rsidR="005B2389" w:rsidRPr="00A3309F" w:rsidRDefault="00A3309F" w:rsidP="00A3309F">
      <w:pPr>
        <w:spacing w:after="240" w:line="240" w:lineRule="auto"/>
        <w:rPr>
          <w:rFonts w:asciiTheme="majorHAnsi" w:eastAsia="Times New Roman" w:hAnsiTheme="majorHAnsi" w:cstheme="majorHAnsi"/>
          <w:lang w:eastAsia="fr-FR"/>
        </w:rPr>
      </w:pPr>
      <w:r w:rsidRPr="00A3309F">
        <w:rPr>
          <w:rFonts w:asciiTheme="majorHAnsi" w:eastAsia="Times New Roman" w:hAnsiTheme="majorHAnsi" w:cstheme="majorHAnsi"/>
          <w:lang w:eastAsia="fr-FR"/>
        </w:rPr>
        <w:t>Compartir a adapté ses stratégies en préparant des guides pour le travail à domicile, en développant des ressources de soutien éducatif telles que des vidéos, des audios, des fiches d'information, en fournissant du matériel éducatif pour la poursuite des processus d'enseignement à distance, en prêtant des instruments de musique pour l'apprentissage par l'utilisation d'abécédaires, en plus du suivi des familles par le biais d'appels téléphoniques, du tutorat éducatif pour soutenir le séjour dans le système éducatif, des jardins familiaux qui obtiennent une participation très active des familles en représentant une opportunité de générer de la nourriture localement.</w:t>
      </w:r>
    </w:p>
    <w:p w14:paraId="5411BB0D" w14:textId="77777777" w:rsidR="005B2389" w:rsidRPr="00A3309F" w:rsidRDefault="005B2389" w:rsidP="005B2389">
      <w:pPr>
        <w:spacing w:after="0" w:line="240" w:lineRule="auto"/>
        <w:rPr>
          <w:rFonts w:asciiTheme="majorHAnsi" w:hAnsiTheme="majorHAnsi" w:cstheme="majorHAnsi"/>
          <w:b/>
          <w:bCs/>
        </w:rPr>
      </w:pPr>
    </w:p>
    <w:p w14:paraId="4741C1EE" w14:textId="77777777" w:rsidR="005B2389" w:rsidRPr="00A3309F" w:rsidRDefault="005B2389" w:rsidP="005B2389">
      <w:pPr>
        <w:spacing w:after="0" w:line="240" w:lineRule="auto"/>
        <w:rPr>
          <w:rFonts w:asciiTheme="majorHAnsi" w:hAnsiTheme="majorHAnsi" w:cstheme="majorHAnsi"/>
          <w:b/>
          <w:bCs/>
        </w:rPr>
      </w:pPr>
    </w:p>
    <w:p w14:paraId="40B9A9FE" w14:textId="77777777" w:rsidR="005B2389" w:rsidRPr="00A3309F" w:rsidRDefault="005B2389" w:rsidP="00A3309F">
      <w:pPr>
        <w:pBdr>
          <w:bottom w:val="single" w:sz="4" w:space="1" w:color="auto"/>
        </w:pBdr>
        <w:spacing w:after="0" w:line="240" w:lineRule="auto"/>
        <w:rPr>
          <w:rFonts w:asciiTheme="majorHAnsi" w:hAnsiTheme="majorHAnsi" w:cstheme="majorHAnsi"/>
          <w:b/>
          <w:bCs/>
        </w:rPr>
      </w:pPr>
    </w:p>
    <w:p w14:paraId="74716DA7" w14:textId="77777777" w:rsidR="005B2389" w:rsidRPr="00A3309F" w:rsidRDefault="005B2389" w:rsidP="005B2389">
      <w:pPr>
        <w:spacing w:after="0" w:line="240" w:lineRule="auto"/>
        <w:rPr>
          <w:rFonts w:asciiTheme="majorHAnsi" w:hAnsiTheme="majorHAnsi" w:cstheme="majorHAnsi"/>
        </w:rPr>
      </w:pPr>
    </w:p>
    <w:p w14:paraId="3E88892B" w14:textId="510D7AD0" w:rsidR="005B2389" w:rsidRPr="00A3309F" w:rsidRDefault="005B2389" w:rsidP="005B2389">
      <w:pPr>
        <w:spacing w:after="0" w:line="240" w:lineRule="auto"/>
        <w:rPr>
          <w:rFonts w:asciiTheme="majorHAnsi" w:hAnsiTheme="majorHAnsi" w:cstheme="majorHAnsi"/>
          <w:b/>
          <w:bCs/>
        </w:rPr>
      </w:pPr>
      <w:r w:rsidRPr="00A3309F">
        <w:rPr>
          <w:rFonts w:asciiTheme="majorHAnsi" w:hAnsiTheme="majorHAnsi" w:cstheme="majorHAnsi"/>
          <w:b/>
          <w:bCs/>
        </w:rPr>
        <w:t>Nom de l’organisation participante : INEPE</w:t>
      </w:r>
    </w:p>
    <w:p w14:paraId="170306DF" w14:textId="4BDA5D2B" w:rsidR="005B2389" w:rsidRPr="00A3309F" w:rsidRDefault="005B2389" w:rsidP="005B2389">
      <w:pPr>
        <w:spacing w:after="0" w:line="240" w:lineRule="auto"/>
        <w:rPr>
          <w:rFonts w:asciiTheme="majorHAnsi" w:hAnsiTheme="majorHAnsi" w:cstheme="majorHAnsi"/>
          <w:b/>
          <w:bCs/>
        </w:rPr>
      </w:pPr>
      <w:r w:rsidRPr="00A3309F">
        <w:rPr>
          <w:rFonts w:asciiTheme="majorHAnsi" w:hAnsiTheme="majorHAnsi" w:cstheme="majorHAnsi"/>
          <w:b/>
          <w:bCs/>
        </w:rPr>
        <w:t>Nom des / de la personne représentant l’organisation :  Pablo</w:t>
      </w:r>
    </w:p>
    <w:p w14:paraId="6A2B6117" w14:textId="7D1AA722" w:rsidR="005B2389" w:rsidRPr="00A3309F" w:rsidRDefault="005B2389" w:rsidP="005B2389">
      <w:pPr>
        <w:spacing w:after="0" w:line="240" w:lineRule="auto"/>
        <w:rPr>
          <w:rFonts w:asciiTheme="majorHAnsi" w:hAnsiTheme="majorHAnsi" w:cstheme="majorHAnsi"/>
          <w:b/>
          <w:bCs/>
        </w:rPr>
      </w:pPr>
      <w:r w:rsidRPr="00A3309F">
        <w:rPr>
          <w:rFonts w:asciiTheme="majorHAnsi" w:hAnsiTheme="majorHAnsi" w:cstheme="majorHAnsi"/>
          <w:b/>
          <w:bCs/>
        </w:rPr>
        <w:t>Pays : Equateur</w:t>
      </w:r>
    </w:p>
    <w:p w14:paraId="1D38A585" w14:textId="028AB3F9" w:rsidR="005B2389" w:rsidRPr="00A3309F" w:rsidRDefault="005B2389" w:rsidP="005B2389">
      <w:pPr>
        <w:rPr>
          <w:rFonts w:asciiTheme="majorHAnsi" w:hAnsiTheme="majorHAnsi" w:cstheme="majorHAnsi"/>
          <w:b/>
          <w:bCs/>
        </w:rPr>
      </w:pPr>
      <w:r w:rsidRPr="00A3309F">
        <w:rPr>
          <w:rFonts w:asciiTheme="majorHAnsi" w:hAnsiTheme="majorHAnsi" w:cstheme="majorHAnsi"/>
          <w:b/>
          <w:bCs/>
        </w:rPr>
        <w:t xml:space="preserve">Nombre de cas de COVID-19 dans le pays :  </w:t>
      </w:r>
    </w:p>
    <w:p w14:paraId="1E270B3C" w14:textId="16E28823" w:rsidR="005B2389" w:rsidRPr="00A3309F" w:rsidRDefault="00A3309F" w:rsidP="005B2389">
      <w:pPr>
        <w:rPr>
          <w:rFonts w:asciiTheme="majorHAnsi" w:eastAsia="Times New Roman" w:hAnsiTheme="majorHAnsi" w:cstheme="majorHAnsi"/>
          <w:color w:val="000000"/>
          <w:lang w:eastAsia="fr-FR"/>
        </w:rPr>
      </w:pPr>
      <w:r w:rsidRPr="00A3309F">
        <w:rPr>
          <w:rFonts w:asciiTheme="majorHAnsi" w:eastAsia="Times New Roman" w:hAnsiTheme="majorHAnsi" w:cstheme="majorHAnsi"/>
          <w:color w:val="000000"/>
          <w:lang w:eastAsia="fr-FR"/>
        </w:rPr>
        <w:t>Au 8 septembre 2020, le nombre de cas confirmés s'élève à 110 757. 91 242 personnes se sont rétablies, 16 258 cas sont sortis de l'hôpital, 10 576 personnes sont décédées. Cependant, on dénombre en moyenne 25 500 décès inhabituels, soit plus que les années précédentes.</w:t>
      </w:r>
    </w:p>
    <w:p w14:paraId="2132A3F4" w14:textId="77777777" w:rsidR="005B2389" w:rsidRPr="00A3309F" w:rsidRDefault="005B2389" w:rsidP="005B2389">
      <w:pPr>
        <w:spacing w:after="0" w:line="240" w:lineRule="auto"/>
        <w:rPr>
          <w:rFonts w:asciiTheme="majorHAnsi" w:hAnsiTheme="majorHAnsi" w:cstheme="majorHAnsi"/>
          <w:b/>
          <w:bCs/>
        </w:rPr>
      </w:pPr>
      <w:r w:rsidRPr="00A3309F">
        <w:rPr>
          <w:rFonts w:asciiTheme="majorHAnsi" w:hAnsiTheme="majorHAnsi" w:cstheme="majorHAnsi"/>
          <w:b/>
          <w:bCs/>
        </w:rPr>
        <w:tab/>
      </w:r>
    </w:p>
    <w:p w14:paraId="2EC889CE" w14:textId="77777777" w:rsidR="005B2389" w:rsidRPr="000500AA" w:rsidRDefault="005B2389" w:rsidP="005B2389">
      <w:pPr>
        <w:spacing w:after="0" w:line="240" w:lineRule="auto"/>
        <w:rPr>
          <w:rFonts w:asciiTheme="majorHAnsi" w:hAnsiTheme="majorHAnsi" w:cstheme="majorHAnsi"/>
          <w:b/>
          <w:bCs/>
        </w:rPr>
      </w:pPr>
      <w:r w:rsidRPr="000500AA">
        <w:rPr>
          <w:rFonts w:asciiTheme="majorHAnsi" w:hAnsiTheme="majorHAnsi" w:cstheme="majorHAnsi"/>
          <w:b/>
          <w:bCs/>
        </w:rPr>
        <w:t xml:space="preserve">Contexte pays : </w:t>
      </w:r>
      <w:r w:rsidRPr="000500AA">
        <w:rPr>
          <w:rFonts w:asciiTheme="majorHAnsi" w:hAnsiTheme="majorHAnsi" w:cstheme="majorHAnsi"/>
          <w:i/>
          <w:iCs/>
          <w:color w:val="2F5496" w:themeColor="accent5" w:themeShade="BF"/>
        </w:rPr>
        <w:t>(200 mots max)</w:t>
      </w:r>
    </w:p>
    <w:p w14:paraId="5E5B6639" w14:textId="5D92DCC8" w:rsidR="005B2389" w:rsidRPr="00A3309F" w:rsidRDefault="00A3309F" w:rsidP="005B2389">
      <w:pPr>
        <w:spacing w:after="0" w:line="240" w:lineRule="auto"/>
        <w:rPr>
          <w:rFonts w:asciiTheme="majorHAnsi" w:hAnsiTheme="majorHAnsi" w:cstheme="majorHAnsi"/>
          <w:b/>
          <w:bCs/>
        </w:rPr>
      </w:pPr>
      <w:r w:rsidRPr="00A3309F">
        <w:rPr>
          <w:rFonts w:asciiTheme="majorHAnsi" w:eastAsia="Times New Roman" w:hAnsiTheme="majorHAnsi" w:cstheme="majorHAnsi"/>
          <w:color w:val="000000"/>
          <w:lang w:eastAsia="fr-FR"/>
        </w:rPr>
        <w:t>Crise généralisée dans le pays. La crédibilité du gouvernement et du président est de 8 %, probablement la pire de l'histoire républicaine (190), et celle de l'Assemblée nationale de 2 %. Selon les chiffres publiés par l'Institut national de la statistique et du recensement (INEC), le 30 juin 2020, le nombre de chômeurs est de 1 009 583 personnes, soit 13,3 % de la population active</w:t>
      </w:r>
    </w:p>
    <w:p w14:paraId="736D6FFF" w14:textId="77777777" w:rsidR="005B2389" w:rsidRPr="00A3309F" w:rsidRDefault="005B2389" w:rsidP="005B2389">
      <w:pPr>
        <w:spacing w:after="0" w:line="240" w:lineRule="auto"/>
        <w:rPr>
          <w:rFonts w:asciiTheme="majorHAnsi" w:hAnsiTheme="majorHAnsi" w:cstheme="majorHAnsi"/>
          <w:b/>
          <w:bCs/>
        </w:rPr>
      </w:pPr>
    </w:p>
    <w:p w14:paraId="486E7AEE" w14:textId="77777777" w:rsidR="005B2389" w:rsidRPr="00A3309F" w:rsidRDefault="005B2389" w:rsidP="005B2389">
      <w:pPr>
        <w:spacing w:after="0" w:line="240" w:lineRule="auto"/>
        <w:rPr>
          <w:rFonts w:asciiTheme="majorHAnsi" w:hAnsiTheme="majorHAnsi" w:cstheme="majorHAnsi"/>
          <w:b/>
          <w:bCs/>
        </w:rPr>
      </w:pPr>
      <w:r w:rsidRPr="00A3309F">
        <w:rPr>
          <w:rFonts w:asciiTheme="majorHAnsi" w:hAnsiTheme="majorHAnsi" w:cstheme="majorHAnsi"/>
          <w:b/>
          <w:bCs/>
        </w:rPr>
        <w:t xml:space="preserve">Activités mises en place et prévues par l’organisation : </w:t>
      </w:r>
      <w:r w:rsidRPr="00A3309F">
        <w:rPr>
          <w:rFonts w:asciiTheme="majorHAnsi" w:hAnsiTheme="majorHAnsi" w:cstheme="majorHAnsi"/>
          <w:i/>
          <w:iCs/>
          <w:color w:val="2F5496" w:themeColor="accent5" w:themeShade="BF"/>
        </w:rPr>
        <w:t>(200 mots max)</w:t>
      </w:r>
    </w:p>
    <w:p w14:paraId="2DBB49A5" w14:textId="77777777" w:rsidR="005B2389" w:rsidRPr="00A3309F" w:rsidRDefault="005B2389" w:rsidP="005B2389">
      <w:pPr>
        <w:spacing w:after="0" w:line="240" w:lineRule="auto"/>
        <w:rPr>
          <w:rFonts w:asciiTheme="majorHAnsi" w:hAnsiTheme="majorHAnsi" w:cstheme="majorHAnsi"/>
        </w:rPr>
      </w:pPr>
    </w:p>
    <w:p w14:paraId="23BB81B7" w14:textId="77777777" w:rsidR="00A3309F" w:rsidRPr="00A3309F" w:rsidRDefault="00A3309F" w:rsidP="005B2389">
      <w:pPr>
        <w:spacing w:after="0" w:line="240" w:lineRule="auto"/>
        <w:rPr>
          <w:rFonts w:asciiTheme="majorHAnsi" w:eastAsia="Times New Roman" w:hAnsiTheme="majorHAnsi" w:cstheme="majorHAnsi"/>
          <w:color w:val="000000"/>
          <w:lang w:eastAsia="fr-FR"/>
        </w:rPr>
      </w:pPr>
      <w:r w:rsidRPr="00A3309F">
        <w:rPr>
          <w:rFonts w:asciiTheme="majorHAnsi" w:eastAsia="Times New Roman" w:hAnsiTheme="majorHAnsi" w:cstheme="majorHAnsi"/>
          <w:color w:val="000000"/>
          <w:lang w:eastAsia="fr-FR"/>
        </w:rPr>
        <w:t>Nous commençons l'année scolaire ce 1er septembre, dans ce contexte sans précédent sur la planète, qui représente un défi pour les éducateurs de transformer les pratiques pédagogiques. Le processus éducatif est "en ligne", synchrone, en temps réel - avec des programmes et des contenus flexibles.</w:t>
      </w:r>
    </w:p>
    <w:p w14:paraId="2E23B782" w14:textId="77777777" w:rsidR="00A3309F" w:rsidRPr="00A3309F" w:rsidRDefault="00A3309F" w:rsidP="005B2389">
      <w:pPr>
        <w:spacing w:after="0" w:line="240" w:lineRule="auto"/>
        <w:rPr>
          <w:rFonts w:asciiTheme="majorHAnsi" w:eastAsia="Times New Roman" w:hAnsiTheme="majorHAnsi" w:cstheme="majorHAnsi"/>
          <w:color w:val="000000"/>
          <w:lang w:eastAsia="fr-FR"/>
        </w:rPr>
      </w:pPr>
    </w:p>
    <w:p w14:paraId="3E349D96" w14:textId="6B6C2065" w:rsidR="005B2389" w:rsidRPr="00A3309F" w:rsidRDefault="005B2389" w:rsidP="005B2389">
      <w:pPr>
        <w:spacing w:after="0" w:line="240" w:lineRule="auto"/>
        <w:rPr>
          <w:rFonts w:asciiTheme="majorHAnsi" w:eastAsia="Times New Roman" w:hAnsiTheme="majorHAnsi" w:cstheme="majorHAnsi"/>
          <w:b/>
          <w:bCs/>
          <w:color w:val="000000"/>
          <w:lang w:eastAsia="fr-FR"/>
        </w:rPr>
      </w:pPr>
      <w:r w:rsidRPr="00A3309F">
        <w:rPr>
          <w:rFonts w:asciiTheme="majorHAnsi" w:eastAsia="Times New Roman" w:hAnsiTheme="majorHAnsi" w:cstheme="majorHAnsi"/>
          <w:b/>
          <w:bCs/>
          <w:color w:val="000000"/>
          <w:lang w:eastAsia="fr-FR"/>
        </w:rPr>
        <w:t xml:space="preserve">Impact : </w:t>
      </w:r>
    </w:p>
    <w:p w14:paraId="03A04997" w14:textId="77777777" w:rsidR="00A3309F" w:rsidRPr="00A3309F" w:rsidRDefault="00A3309F" w:rsidP="00A3309F">
      <w:pPr>
        <w:spacing w:after="0" w:line="240" w:lineRule="auto"/>
        <w:rPr>
          <w:rFonts w:asciiTheme="majorHAnsi" w:eastAsia="Times New Roman" w:hAnsiTheme="majorHAnsi" w:cstheme="majorHAnsi"/>
          <w:color w:val="000000"/>
          <w:lang w:eastAsia="fr-FR"/>
        </w:rPr>
      </w:pPr>
      <w:r w:rsidRPr="00A3309F">
        <w:rPr>
          <w:rFonts w:asciiTheme="majorHAnsi" w:eastAsia="Times New Roman" w:hAnsiTheme="majorHAnsi" w:cstheme="majorHAnsi"/>
          <w:color w:val="000000"/>
          <w:lang w:eastAsia="fr-FR"/>
        </w:rPr>
        <w:t>Impact pour les enseignants sur leur pratique d'enseignement, cette première semaine que nous avons évaluée, c'est épuisant d'être tout le temps à l'écran. Nous avons mis l'accent sur la planification d'activités qui permettent l'auto-apprentissage, dans les plus grandes, en réduisant le temps d'exposition à l'ordinateur. Inquiétude pour la santé de l'équipe. La situation économique du pays a particulièrement touché les familles.</w:t>
      </w:r>
    </w:p>
    <w:p w14:paraId="0F2AC355" w14:textId="5D008B24" w:rsidR="005B2389" w:rsidRPr="00A3309F" w:rsidRDefault="00A3309F" w:rsidP="00A3309F">
      <w:pPr>
        <w:spacing w:after="0" w:line="240" w:lineRule="auto"/>
        <w:rPr>
          <w:rFonts w:asciiTheme="majorHAnsi" w:eastAsia="Times New Roman" w:hAnsiTheme="majorHAnsi" w:cstheme="majorHAnsi"/>
          <w:color w:val="000000"/>
          <w:lang w:eastAsia="fr-FR"/>
        </w:rPr>
      </w:pPr>
      <w:r w:rsidRPr="00A3309F">
        <w:rPr>
          <w:rFonts w:asciiTheme="majorHAnsi" w:eastAsia="Times New Roman" w:hAnsiTheme="majorHAnsi" w:cstheme="majorHAnsi"/>
          <w:color w:val="000000"/>
          <w:lang w:eastAsia="fr-FR"/>
        </w:rPr>
        <w:t>Programme d'éducation des talents musicaux - PETM ONLINE : Toutes les inscriptions ont été faites en ligne (nous avons eu 160 inscriptions). Nous avons ouvert des quotas pour tous les instruments et la stimulation musicale à l'intérieur et à l'extérieur de la ville de Quito.</w:t>
      </w:r>
    </w:p>
    <w:p w14:paraId="050506A7" w14:textId="77777777" w:rsidR="005B2389" w:rsidRPr="00A3309F" w:rsidRDefault="005B2389" w:rsidP="005B2389">
      <w:pPr>
        <w:spacing w:after="0" w:line="240" w:lineRule="auto"/>
        <w:rPr>
          <w:rFonts w:asciiTheme="majorHAnsi" w:hAnsiTheme="majorHAnsi" w:cstheme="majorHAnsi"/>
          <w:sz w:val="24"/>
        </w:rPr>
      </w:pPr>
    </w:p>
    <w:p w14:paraId="2CDCE1A0" w14:textId="77777777" w:rsidR="005B2389" w:rsidRPr="00A3309F" w:rsidRDefault="005B2389" w:rsidP="00A3309F">
      <w:pPr>
        <w:pBdr>
          <w:bottom w:val="single" w:sz="4" w:space="1" w:color="auto"/>
        </w:pBdr>
        <w:spacing w:after="0" w:line="240" w:lineRule="auto"/>
        <w:rPr>
          <w:rFonts w:asciiTheme="majorHAnsi" w:hAnsiTheme="majorHAnsi" w:cstheme="majorHAnsi"/>
          <w:sz w:val="24"/>
        </w:rPr>
      </w:pPr>
    </w:p>
    <w:p w14:paraId="516EC883" w14:textId="451869DB" w:rsidR="005B2389" w:rsidRDefault="005B2389" w:rsidP="005B2389">
      <w:pPr>
        <w:spacing w:after="0" w:line="240" w:lineRule="auto"/>
        <w:rPr>
          <w:rFonts w:asciiTheme="majorHAnsi" w:hAnsiTheme="majorHAnsi" w:cstheme="majorHAnsi"/>
        </w:rPr>
      </w:pPr>
    </w:p>
    <w:p w14:paraId="54A1C0E3" w14:textId="77777777" w:rsidR="00A3309F" w:rsidRPr="00A3309F" w:rsidRDefault="00A3309F" w:rsidP="005B2389">
      <w:pPr>
        <w:spacing w:after="0" w:line="240" w:lineRule="auto"/>
        <w:rPr>
          <w:rFonts w:asciiTheme="majorHAnsi" w:hAnsiTheme="majorHAnsi" w:cstheme="majorHAnsi"/>
        </w:rPr>
      </w:pPr>
    </w:p>
    <w:p w14:paraId="220F3171" w14:textId="01528CFC" w:rsidR="005B2389" w:rsidRPr="00A3309F" w:rsidRDefault="005B2389" w:rsidP="005B2389">
      <w:pPr>
        <w:spacing w:after="0" w:line="240" w:lineRule="auto"/>
        <w:rPr>
          <w:rFonts w:asciiTheme="majorHAnsi" w:hAnsiTheme="majorHAnsi" w:cstheme="majorHAnsi"/>
          <w:b/>
          <w:bCs/>
        </w:rPr>
      </w:pPr>
      <w:r w:rsidRPr="00A3309F">
        <w:rPr>
          <w:rFonts w:asciiTheme="majorHAnsi" w:hAnsiTheme="majorHAnsi" w:cstheme="majorHAnsi"/>
          <w:b/>
          <w:bCs/>
        </w:rPr>
        <w:lastRenderedPageBreak/>
        <w:t>Nom de l’organisation participante :  San Juan</w:t>
      </w:r>
      <w:r w:rsidRPr="00A3309F">
        <w:rPr>
          <w:rFonts w:asciiTheme="majorHAnsi" w:hAnsiTheme="majorHAnsi" w:cstheme="majorHAnsi"/>
          <w:b/>
          <w:bCs/>
        </w:rPr>
        <w:tab/>
      </w:r>
    </w:p>
    <w:p w14:paraId="3BE88C73" w14:textId="009101FD" w:rsidR="005B2389" w:rsidRPr="00A3309F" w:rsidRDefault="005B2389" w:rsidP="005B2389">
      <w:pPr>
        <w:spacing w:after="0" w:line="240" w:lineRule="auto"/>
        <w:rPr>
          <w:rFonts w:asciiTheme="majorHAnsi" w:hAnsiTheme="majorHAnsi" w:cstheme="majorHAnsi"/>
          <w:b/>
          <w:bCs/>
        </w:rPr>
      </w:pPr>
      <w:r w:rsidRPr="00A3309F">
        <w:rPr>
          <w:rFonts w:asciiTheme="majorHAnsi" w:hAnsiTheme="majorHAnsi" w:cstheme="majorHAnsi"/>
          <w:b/>
          <w:bCs/>
        </w:rPr>
        <w:t>Nom des / de la personne représentant l’organisation : Mercy y Marcela</w:t>
      </w:r>
    </w:p>
    <w:p w14:paraId="6360EDCB" w14:textId="584D7BB7" w:rsidR="005B2389" w:rsidRPr="00A3309F" w:rsidRDefault="005B2389" w:rsidP="005B2389">
      <w:pPr>
        <w:spacing w:after="0" w:line="240" w:lineRule="auto"/>
        <w:rPr>
          <w:rFonts w:asciiTheme="majorHAnsi" w:hAnsiTheme="majorHAnsi" w:cstheme="majorHAnsi"/>
          <w:b/>
          <w:bCs/>
        </w:rPr>
      </w:pPr>
      <w:r w:rsidRPr="00A3309F">
        <w:rPr>
          <w:rFonts w:asciiTheme="majorHAnsi" w:hAnsiTheme="majorHAnsi" w:cstheme="majorHAnsi"/>
          <w:b/>
          <w:bCs/>
        </w:rPr>
        <w:t>Pays : Equateur</w:t>
      </w:r>
    </w:p>
    <w:p w14:paraId="188F72AB" w14:textId="2F9012C5" w:rsidR="005B2389" w:rsidRPr="00A3309F" w:rsidRDefault="005B2389" w:rsidP="005B2389">
      <w:pPr>
        <w:rPr>
          <w:rFonts w:asciiTheme="majorHAnsi" w:hAnsiTheme="majorHAnsi" w:cstheme="majorHAnsi"/>
          <w:b/>
          <w:bCs/>
        </w:rPr>
      </w:pPr>
      <w:r w:rsidRPr="00A3309F">
        <w:rPr>
          <w:rFonts w:asciiTheme="majorHAnsi" w:hAnsiTheme="majorHAnsi" w:cstheme="majorHAnsi"/>
          <w:b/>
          <w:bCs/>
        </w:rPr>
        <w:t xml:space="preserve">Nombre de cas de COVID-19 dans le pays :  </w:t>
      </w:r>
    </w:p>
    <w:p w14:paraId="452CC9A3" w14:textId="45D6D07E" w:rsidR="005B2389" w:rsidRPr="000500AA" w:rsidRDefault="005B2389" w:rsidP="005B2389">
      <w:pPr>
        <w:spacing w:after="0" w:line="240" w:lineRule="auto"/>
        <w:rPr>
          <w:rFonts w:asciiTheme="majorHAnsi" w:eastAsia="Times New Roman" w:hAnsiTheme="majorHAnsi" w:cstheme="majorHAnsi"/>
          <w:color w:val="000000"/>
          <w:lang w:eastAsia="fr-FR"/>
        </w:rPr>
      </w:pPr>
      <w:r w:rsidRPr="000500AA">
        <w:rPr>
          <w:rFonts w:asciiTheme="majorHAnsi" w:eastAsia="Times New Roman" w:hAnsiTheme="majorHAnsi" w:cstheme="majorHAnsi"/>
          <w:color w:val="000000"/>
          <w:lang w:eastAsia="fr-FR"/>
        </w:rPr>
        <w:t>117</w:t>
      </w:r>
      <w:r w:rsidR="00A3309F" w:rsidRPr="000500AA">
        <w:rPr>
          <w:rFonts w:asciiTheme="majorHAnsi" w:eastAsia="Times New Roman" w:hAnsiTheme="majorHAnsi" w:cstheme="majorHAnsi"/>
          <w:color w:val="000000"/>
          <w:lang w:eastAsia="fr-FR"/>
        </w:rPr>
        <w:t> </w:t>
      </w:r>
      <w:r w:rsidRPr="000500AA">
        <w:rPr>
          <w:rFonts w:asciiTheme="majorHAnsi" w:eastAsia="Times New Roman" w:hAnsiTheme="majorHAnsi" w:cstheme="majorHAnsi"/>
          <w:color w:val="000000"/>
          <w:lang w:eastAsia="fr-FR"/>
        </w:rPr>
        <w:t>175</w:t>
      </w:r>
      <w:r w:rsidR="00A3309F" w:rsidRPr="000500AA">
        <w:rPr>
          <w:rFonts w:asciiTheme="majorHAnsi" w:eastAsia="Times New Roman" w:hAnsiTheme="majorHAnsi" w:cstheme="majorHAnsi"/>
          <w:color w:val="000000"/>
          <w:lang w:eastAsia="fr-FR"/>
        </w:rPr>
        <w:t xml:space="preserve"> cas </w:t>
      </w:r>
      <w:r w:rsidRPr="000500AA">
        <w:rPr>
          <w:rFonts w:asciiTheme="majorHAnsi" w:eastAsia="Times New Roman" w:hAnsiTheme="majorHAnsi" w:cstheme="majorHAnsi"/>
          <w:color w:val="000000"/>
          <w:lang w:eastAsia="fr-FR"/>
        </w:rPr>
        <w:t xml:space="preserve"> (</w:t>
      </w:r>
      <w:r w:rsidR="00A3309F" w:rsidRPr="000500AA">
        <w:rPr>
          <w:rFonts w:asciiTheme="majorHAnsi" w:eastAsia="Times New Roman" w:hAnsiTheme="majorHAnsi" w:cstheme="majorHAnsi"/>
          <w:color w:val="000000"/>
          <w:lang w:eastAsia="fr-FR"/>
        </w:rPr>
        <w:t>au 4 septembre)</w:t>
      </w:r>
    </w:p>
    <w:p w14:paraId="522ECF81" w14:textId="77777777" w:rsidR="005B2389" w:rsidRPr="000500AA" w:rsidRDefault="005B2389" w:rsidP="005B2389">
      <w:pPr>
        <w:spacing w:after="0" w:line="240" w:lineRule="auto"/>
        <w:rPr>
          <w:rFonts w:asciiTheme="majorHAnsi" w:hAnsiTheme="majorHAnsi" w:cstheme="majorHAnsi"/>
          <w:b/>
          <w:bCs/>
        </w:rPr>
      </w:pPr>
      <w:r w:rsidRPr="000500AA">
        <w:rPr>
          <w:rFonts w:asciiTheme="majorHAnsi" w:hAnsiTheme="majorHAnsi" w:cstheme="majorHAnsi"/>
          <w:b/>
          <w:bCs/>
        </w:rPr>
        <w:tab/>
      </w:r>
    </w:p>
    <w:p w14:paraId="68DB6958" w14:textId="77777777" w:rsidR="005B2389" w:rsidRPr="000500AA" w:rsidRDefault="005B2389" w:rsidP="005B2389">
      <w:pPr>
        <w:spacing w:after="0" w:line="240" w:lineRule="auto"/>
        <w:rPr>
          <w:rFonts w:asciiTheme="majorHAnsi" w:hAnsiTheme="majorHAnsi" w:cstheme="majorHAnsi"/>
          <w:b/>
          <w:bCs/>
        </w:rPr>
      </w:pPr>
      <w:r w:rsidRPr="000500AA">
        <w:rPr>
          <w:rFonts w:asciiTheme="majorHAnsi" w:hAnsiTheme="majorHAnsi" w:cstheme="majorHAnsi"/>
          <w:b/>
          <w:bCs/>
        </w:rPr>
        <w:t xml:space="preserve">Contexte pays : </w:t>
      </w:r>
      <w:r w:rsidRPr="000500AA">
        <w:rPr>
          <w:rFonts w:asciiTheme="majorHAnsi" w:hAnsiTheme="majorHAnsi" w:cstheme="majorHAnsi"/>
          <w:i/>
          <w:iCs/>
          <w:color w:val="2F5496" w:themeColor="accent5" w:themeShade="BF"/>
        </w:rPr>
        <w:t>(200 mots max)</w:t>
      </w:r>
    </w:p>
    <w:p w14:paraId="314B777A" w14:textId="77777777" w:rsidR="00A3309F" w:rsidRPr="00A3309F" w:rsidRDefault="00A3309F" w:rsidP="00A3309F">
      <w:pPr>
        <w:spacing w:after="0" w:line="240" w:lineRule="auto"/>
        <w:rPr>
          <w:rFonts w:asciiTheme="majorHAnsi" w:eastAsia="Times New Roman" w:hAnsiTheme="majorHAnsi" w:cstheme="majorHAnsi"/>
          <w:color w:val="000000"/>
          <w:lang w:eastAsia="fr-FR"/>
        </w:rPr>
      </w:pPr>
      <w:r w:rsidRPr="00A3309F">
        <w:rPr>
          <w:rFonts w:asciiTheme="majorHAnsi" w:eastAsia="Times New Roman" w:hAnsiTheme="majorHAnsi" w:cstheme="majorHAnsi"/>
          <w:color w:val="000000"/>
          <w:lang w:eastAsia="fr-FR"/>
        </w:rPr>
        <w:t>Quito a enregistré 22 381 cas confirmés de covid-19, jusqu'au matin du 4 septembre 2020. L'Équateur, en revanche, a connu 117 175 infections, selon le rapport n° 190 du ministère équatorien de la santé. Sur le nombre total de cas confirmés dans le pays, 108 219 ont été confirmés par des tests PCR et 8 956 par des tests rapides. Avec ce chiffre, Quito est la ville la plus infectée du pays, suivie de Guayaquil avec 12 912 infections. En troisième position se trouvent Cuenca avec 4 999 et Loja avec 3 726. Sur ce total, 6 674 sont des décès confirmés par le covid-19</w:t>
      </w:r>
    </w:p>
    <w:p w14:paraId="37334FBF" w14:textId="77777777" w:rsidR="00A3309F" w:rsidRPr="00A3309F" w:rsidRDefault="00A3309F" w:rsidP="00A3309F">
      <w:pPr>
        <w:spacing w:after="0" w:line="240" w:lineRule="auto"/>
        <w:rPr>
          <w:rFonts w:asciiTheme="majorHAnsi" w:eastAsia="Times New Roman" w:hAnsiTheme="majorHAnsi" w:cstheme="majorHAnsi"/>
          <w:color w:val="000000"/>
          <w:lang w:eastAsia="fr-FR"/>
        </w:rPr>
      </w:pPr>
      <w:r w:rsidRPr="00A3309F">
        <w:rPr>
          <w:rFonts w:asciiTheme="majorHAnsi" w:eastAsia="Times New Roman" w:hAnsiTheme="majorHAnsi" w:cstheme="majorHAnsi"/>
          <w:b/>
          <w:bCs/>
          <w:color w:val="000000"/>
          <w:lang w:eastAsia="fr-FR"/>
        </w:rPr>
        <w:t>CORRUPTION EN ÉQUATEUR</w:t>
      </w:r>
      <w:r w:rsidRPr="00A3309F">
        <w:rPr>
          <w:rFonts w:asciiTheme="majorHAnsi" w:eastAsia="Times New Roman" w:hAnsiTheme="majorHAnsi" w:cstheme="majorHAnsi"/>
          <w:color w:val="000000"/>
          <w:lang w:eastAsia="fr-FR"/>
        </w:rPr>
        <w:t xml:space="preserve"> : Lors de la pandémie de maladie à coronavirus de 2020 en Équateur, plusieurs allégations de corruption sont apparues dans le cadre de l'urgence sanitaire. Les événements ont entraîné le départ de membres du gouvernement de Lenín Moreno et l'enquête ou l'arrestation des autorités cantonales et provinciales, d'un ancien président de la République, de ses enfants et de son entourage.</w:t>
      </w:r>
    </w:p>
    <w:p w14:paraId="468736B7" w14:textId="77777777" w:rsidR="00A3309F" w:rsidRPr="00A3309F" w:rsidRDefault="00A3309F" w:rsidP="00A3309F">
      <w:pPr>
        <w:spacing w:after="0" w:line="240" w:lineRule="auto"/>
        <w:rPr>
          <w:rFonts w:asciiTheme="majorHAnsi" w:eastAsia="Times New Roman" w:hAnsiTheme="majorHAnsi" w:cstheme="majorHAnsi"/>
          <w:color w:val="000000"/>
          <w:lang w:eastAsia="fr-FR"/>
        </w:rPr>
      </w:pPr>
      <w:r w:rsidRPr="00A3309F">
        <w:rPr>
          <w:rFonts w:asciiTheme="majorHAnsi" w:eastAsia="Times New Roman" w:hAnsiTheme="majorHAnsi" w:cstheme="majorHAnsi"/>
          <w:color w:val="000000"/>
          <w:lang w:eastAsia="fr-FR"/>
        </w:rPr>
        <w:t xml:space="preserve">Dénonciation de la surfacturation des masques, du gel, des respirateurs, des housses mortuaires, des kits alimentaires, des entreprises millionnaires de fournitures médicales dans les hôpitaux publics, des assassinats, du crime organisé, de la vente de fausses cartes d'identité pour des personnes prétendument handicapées, de la vente et de la mobilisation de fournitures médicales, entre autres, </w:t>
      </w:r>
    </w:p>
    <w:p w14:paraId="4C4AECA3" w14:textId="77777777" w:rsidR="00A3309F" w:rsidRPr="00A3309F" w:rsidRDefault="00A3309F" w:rsidP="00A3309F">
      <w:pPr>
        <w:spacing w:after="0" w:line="240" w:lineRule="auto"/>
        <w:rPr>
          <w:rFonts w:asciiTheme="majorHAnsi" w:eastAsia="Times New Roman" w:hAnsiTheme="majorHAnsi" w:cstheme="majorHAnsi"/>
          <w:color w:val="000000"/>
          <w:lang w:eastAsia="fr-FR"/>
        </w:rPr>
      </w:pPr>
      <w:r w:rsidRPr="00A3309F">
        <w:rPr>
          <w:rFonts w:asciiTheme="majorHAnsi" w:eastAsia="Times New Roman" w:hAnsiTheme="majorHAnsi" w:cstheme="majorHAnsi"/>
          <w:b/>
          <w:bCs/>
          <w:color w:val="000000"/>
          <w:lang w:eastAsia="fr-FR"/>
        </w:rPr>
        <w:t xml:space="preserve">DÉVELOPPEMENT DU PERSONNEL DE LA SANTÉ </w:t>
      </w:r>
      <w:r w:rsidRPr="00A3309F">
        <w:rPr>
          <w:rFonts w:asciiTheme="majorHAnsi" w:eastAsia="Times New Roman" w:hAnsiTheme="majorHAnsi" w:cstheme="majorHAnsi"/>
          <w:color w:val="000000"/>
          <w:lang w:eastAsia="fr-FR"/>
        </w:rPr>
        <w:t>: Le ministre de la santé, Juan Carlos Zevallos, a indiqué que les contrats de 2279 personnes, qui correspondent à 2,8 % de la masse salariale du ministère de la santé, seront supprimés malgré un niveau élevé d'infections dans le pays et un besoin évident de personnel de santé pour répondre à l'urgence. Les fonctionnaires de ce secteur ont été notifiés alors qu'ils terminaient des quarts de travail de plus de 18 heures en première ligne, ce qui a généré des sit-in en dehors des hôpitaux et des entités de santé en rejetant la vague de licenciements.</w:t>
      </w:r>
    </w:p>
    <w:p w14:paraId="7165011A" w14:textId="77777777" w:rsidR="00A3309F" w:rsidRPr="00A3309F" w:rsidRDefault="00A3309F" w:rsidP="00A3309F">
      <w:pPr>
        <w:spacing w:after="0" w:line="240" w:lineRule="auto"/>
        <w:rPr>
          <w:rFonts w:asciiTheme="majorHAnsi" w:eastAsia="Times New Roman" w:hAnsiTheme="majorHAnsi" w:cstheme="majorHAnsi"/>
          <w:color w:val="000000"/>
          <w:lang w:eastAsia="fr-FR"/>
        </w:rPr>
      </w:pPr>
      <w:r w:rsidRPr="00A3309F">
        <w:rPr>
          <w:rFonts w:asciiTheme="majorHAnsi" w:eastAsia="Times New Roman" w:hAnsiTheme="majorHAnsi" w:cstheme="majorHAnsi"/>
          <w:b/>
          <w:bCs/>
          <w:color w:val="000000"/>
          <w:lang w:eastAsia="fr-FR"/>
        </w:rPr>
        <w:t>CARTE D'HANDICAP FRAUDULEUX</w:t>
      </w:r>
      <w:r w:rsidRPr="00A3309F">
        <w:rPr>
          <w:rFonts w:asciiTheme="majorHAnsi" w:eastAsia="Times New Roman" w:hAnsiTheme="majorHAnsi" w:cstheme="majorHAnsi"/>
          <w:color w:val="000000"/>
          <w:lang w:eastAsia="fr-FR"/>
        </w:rPr>
        <w:t xml:space="preserve"> : La Constitution de la République de l'Équateur et la loi organique sur les handicaps accordent des droits aux personnes handicapées, afin de leur fournir une protection spéciale, en tenant compte de leur santé et de leur bien-être. Parmi elles, l'exonération de taxes telles que la TVA et d'autres qui ont trait à l'importation et à l'achat de certains biens. Au début du mois de juillet ,par une publication dans les réseaux du portail d'information La Historia, on fait connaître le nom de plusieurs députés qui auraient bénéficié de l'obtention de certificats d'invalidité en avantages fiscaux. Les premières preuves de corruption dans la remise de ces documents sont apparues, après la capture de Daniel Salcedo, impliqué dans les négociations pour l'embauche des hôpitaux de l'IESS à Guayaquil. </w:t>
      </w:r>
    </w:p>
    <w:p w14:paraId="44653ADF" w14:textId="4AE8451F" w:rsidR="005B2389" w:rsidRPr="00A3309F" w:rsidRDefault="00A3309F" w:rsidP="00A3309F">
      <w:pPr>
        <w:spacing w:after="0" w:line="240" w:lineRule="auto"/>
        <w:rPr>
          <w:rFonts w:asciiTheme="majorHAnsi" w:hAnsiTheme="majorHAnsi" w:cstheme="majorHAnsi"/>
          <w:b/>
          <w:bCs/>
        </w:rPr>
      </w:pPr>
      <w:r w:rsidRPr="00A3309F">
        <w:rPr>
          <w:rFonts w:asciiTheme="majorHAnsi" w:eastAsia="Times New Roman" w:hAnsiTheme="majorHAnsi" w:cstheme="majorHAnsi"/>
          <w:b/>
          <w:bCs/>
          <w:color w:val="000000"/>
          <w:lang w:eastAsia="fr-FR"/>
        </w:rPr>
        <w:t xml:space="preserve">CHÔMAGE </w:t>
      </w:r>
      <w:r w:rsidRPr="00A3309F">
        <w:rPr>
          <w:rFonts w:asciiTheme="majorHAnsi" w:eastAsia="Times New Roman" w:hAnsiTheme="majorHAnsi" w:cstheme="majorHAnsi"/>
          <w:color w:val="000000"/>
          <w:lang w:eastAsia="fr-FR"/>
        </w:rPr>
        <w:t>: La hausse de 9,5 points en un seul semestre du taux de chômage qui est passé de 3,8% (décembre 2019) à 13,3% en mai et juin de cette année, selon les chiffres présentés samedi par l'Institut national de la statistique et du recensement (INEC). Ces résultats montrent que 7 personnes sur 10 n'ont pas d'emploi approprié ou ont subi des changements dans leur situation professionnelle.</w:t>
      </w:r>
    </w:p>
    <w:p w14:paraId="7A90580C" w14:textId="77777777" w:rsidR="005B2389" w:rsidRPr="00A3309F" w:rsidRDefault="005B2389" w:rsidP="005B2389">
      <w:pPr>
        <w:spacing w:after="0" w:line="240" w:lineRule="auto"/>
        <w:rPr>
          <w:rFonts w:asciiTheme="majorHAnsi" w:hAnsiTheme="majorHAnsi" w:cstheme="majorHAnsi"/>
          <w:b/>
          <w:bCs/>
        </w:rPr>
      </w:pPr>
    </w:p>
    <w:p w14:paraId="0E8EB8CD" w14:textId="77777777" w:rsidR="005B2389" w:rsidRPr="00A3309F" w:rsidRDefault="005B2389" w:rsidP="005B2389">
      <w:pPr>
        <w:spacing w:after="0" w:line="240" w:lineRule="auto"/>
        <w:rPr>
          <w:rFonts w:asciiTheme="majorHAnsi" w:hAnsiTheme="majorHAnsi" w:cstheme="majorHAnsi"/>
          <w:b/>
          <w:bCs/>
        </w:rPr>
      </w:pPr>
      <w:r w:rsidRPr="00A3309F">
        <w:rPr>
          <w:rFonts w:asciiTheme="majorHAnsi" w:hAnsiTheme="majorHAnsi" w:cstheme="majorHAnsi"/>
          <w:b/>
          <w:bCs/>
        </w:rPr>
        <w:t xml:space="preserve">Activités mises en place et prévues par l’organisation : </w:t>
      </w:r>
      <w:r w:rsidRPr="00A3309F">
        <w:rPr>
          <w:rFonts w:asciiTheme="majorHAnsi" w:hAnsiTheme="majorHAnsi" w:cstheme="majorHAnsi"/>
          <w:i/>
          <w:iCs/>
          <w:color w:val="2F5496" w:themeColor="accent5" w:themeShade="BF"/>
        </w:rPr>
        <w:t>(200 mots max)</w:t>
      </w:r>
    </w:p>
    <w:p w14:paraId="5277608A" w14:textId="77777777" w:rsidR="00740547" w:rsidRPr="00A3309F" w:rsidRDefault="00740547" w:rsidP="00740547">
      <w:pPr>
        <w:spacing w:after="0" w:line="240" w:lineRule="auto"/>
        <w:rPr>
          <w:rFonts w:asciiTheme="majorHAnsi" w:hAnsiTheme="majorHAnsi" w:cstheme="majorHAnsi"/>
          <w:sz w:val="24"/>
        </w:rPr>
      </w:pPr>
    </w:p>
    <w:p w14:paraId="031C7305" w14:textId="77777777" w:rsidR="00A3309F" w:rsidRPr="00A3309F" w:rsidRDefault="005B2389" w:rsidP="005B2389">
      <w:pPr>
        <w:spacing w:after="0" w:line="240" w:lineRule="auto"/>
        <w:rPr>
          <w:rFonts w:asciiTheme="majorHAnsi" w:eastAsia="Times New Roman" w:hAnsiTheme="majorHAnsi" w:cstheme="majorHAnsi"/>
          <w:color w:val="333333"/>
          <w:lang w:eastAsia="fr-FR"/>
        </w:rPr>
      </w:pPr>
      <w:r w:rsidRPr="00A3309F">
        <w:rPr>
          <w:rFonts w:asciiTheme="majorHAnsi" w:eastAsia="Times New Roman" w:hAnsiTheme="majorHAnsi" w:cstheme="majorHAnsi"/>
          <w:b/>
          <w:bCs/>
          <w:color w:val="333333"/>
          <w:lang w:eastAsia="fr-FR"/>
        </w:rPr>
        <w:t>SAN JUAN DE JERUSALEN</w:t>
      </w:r>
      <w:r w:rsidRPr="00A3309F">
        <w:rPr>
          <w:rFonts w:asciiTheme="majorHAnsi" w:eastAsia="Times New Roman" w:hAnsiTheme="majorHAnsi" w:cstheme="majorHAnsi"/>
          <w:color w:val="333333"/>
          <w:lang w:eastAsia="fr-FR"/>
        </w:rPr>
        <w:t xml:space="preserve"> </w:t>
      </w:r>
      <w:r w:rsidR="00A3309F" w:rsidRPr="00A3309F">
        <w:rPr>
          <w:rFonts w:asciiTheme="majorHAnsi" w:eastAsia="Times New Roman" w:hAnsiTheme="majorHAnsi" w:cstheme="majorHAnsi"/>
          <w:color w:val="333333"/>
          <w:lang w:eastAsia="fr-FR"/>
        </w:rPr>
        <w:t>À partir du 1er septembre, le personnel de la Fondation est revenu avec une période d'organisation, de planification, de gestion du temps et de modalités de travail. La modalité de retour dans l'institution est établie de manière virtuelle pour les enfants et les adolescents qui ne peuvent pas fréquenter la Fondation en raison de la mobilité ou parce qu'ils n'ont pas l'autorisation de leurs parents et d'un groupe dans lequel un soutien pédagogique est donné aux enfants dans la classe dans les installations de la Fondation avec des groupes de 2 ou 3 enfants, dans les mêmes heures de l'attention thérapeutique.</w:t>
      </w:r>
    </w:p>
    <w:p w14:paraId="2D166340" w14:textId="77777777" w:rsidR="00A3309F" w:rsidRPr="00A3309F" w:rsidRDefault="00A3309F" w:rsidP="005B2389">
      <w:pPr>
        <w:spacing w:after="0" w:line="240" w:lineRule="auto"/>
        <w:rPr>
          <w:rFonts w:asciiTheme="majorHAnsi" w:eastAsia="Times New Roman" w:hAnsiTheme="majorHAnsi" w:cstheme="majorHAnsi"/>
          <w:color w:val="333333"/>
          <w:lang w:eastAsia="fr-FR"/>
        </w:rPr>
      </w:pPr>
    </w:p>
    <w:p w14:paraId="31013D8F" w14:textId="4D8D603D" w:rsidR="005B2389" w:rsidRPr="000500AA" w:rsidRDefault="00A3309F" w:rsidP="005B2389">
      <w:pPr>
        <w:spacing w:after="0" w:line="240" w:lineRule="auto"/>
        <w:rPr>
          <w:rFonts w:asciiTheme="majorHAnsi" w:eastAsia="Times New Roman" w:hAnsiTheme="majorHAnsi" w:cstheme="majorHAnsi"/>
          <w:b/>
          <w:bCs/>
          <w:color w:val="333333"/>
          <w:lang w:eastAsia="fr-FR"/>
        </w:rPr>
      </w:pPr>
      <w:r w:rsidRPr="000500AA">
        <w:rPr>
          <w:rFonts w:asciiTheme="majorHAnsi" w:eastAsia="Times New Roman" w:hAnsiTheme="majorHAnsi" w:cstheme="majorHAnsi"/>
          <w:b/>
          <w:bCs/>
          <w:color w:val="333333"/>
          <w:lang w:eastAsia="fr-FR"/>
        </w:rPr>
        <w:t xml:space="preserve">Impact sur l’organisation : </w:t>
      </w:r>
    </w:p>
    <w:p w14:paraId="2A8486BD" w14:textId="77777777" w:rsidR="00A3309F" w:rsidRPr="00A3309F" w:rsidRDefault="00A3309F" w:rsidP="00A3309F">
      <w:pPr>
        <w:spacing w:after="0" w:line="240" w:lineRule="auto"/>
        <w:rPr>
          <w:rFonts w:asciiTheme="majorHAnsi" w:eastAsia="Times New Roman" w:hAnsiTheme="majorHAnsi" w:cstheme="majorHAnsi"/>
          <w:color w:val="000000"/>
          <w:lang w:eastAsia="fr-FR"/>
        </w:rPr>
      </w:pPr>
      <w:r w:rsidRPr="00A3309F">
        <w:rPr>
          <w:rFonts w:asciiTheme="majorHAnsi" w:eastAsia="Times New Roman" w:hAnsiTheme="majorHAnsi" w:cstheme="majorHAnsi"/>
          <w:b/>
          <w:bCs/>
          <w:color w:val="000000"/>
          <w:lang w:eastAsia="fr-FR"/>
        </w:rPr>
        <w:t xml:space="preserve">Positifs : </w:t>
      </w:r>
      <w:r w:rsidR="005B2389" w:rsidRPr="00A3309F">
        <w:rPr>
          <w:rFonts w:asciiTheme="majorHAnsi" w:eastAsia="Times New Roman" w:hAnsiTheme="majorHAnsi" w:cstheme="majorHAnsi"/>
          <w:color w:val="000000"/>
          <w:lang w:eastAsia="fr-FR"/>
        </w:rPr>
        <w:br/>
      </w:r>
      <w:r w:rsidRPr="00A3309F">
        <w:rPr>
          <w:rFonts w:asciiTheme="majorHAnsi" w:eastAsia="Times New Roman" w:hAnsiTheme="majorHAnsi" w:cstheme="majorHAnsi"/>
          <w:color w:val="000000"/>
          <w:lang w:eastAsia="fr-FR"/>
        </w:rPr>
        <w:t>*Adaptation des services en personne en fonction des besoins des enfants et des adolescents, présentation de services virtuels, adaptation du matériel, plates-formes virtuelles, attention téléphonique (téléconsultations).</w:t>
      </w:r>
    </w:p>
    <w:p w14:paraId="3931D029" w14:textId="77777777" w:rsidR="00A3309F" w:rsidRPr="00A3309F" w:rsidRDefault="00A3309F" w:rsidP="00A3309F">
      <w:pPr>
        <w:spacing w:after="0" w:line="240" w:lineRule="auto"/>
        <w:rPr>
          <w:rFonts w:asciiTheme="majorHAnsi" w:eastAsia="Times New Roman" w:hAnsiTheme="majorHAnsi" w:cstheme="majorHAnsi"/>
          <w:color w:val="000000"/>
          <w:lang w:eastAsia="fr-FR"/>
        </w:rPr>
      </w:pPr>
      <w:r w:rsidRPr="00A3309F">
        <w:rPr>
          <w:rFonts w:asciiTheme="majorHAnsi" w:eastAsia="Times New Roman" w:hAnsiTheme="majorHAnsi" w:cstheme="majorHAnsi"/>
          <w:color w:val="000000"/>
          <w:lang w:eastAsia="fr-FR"/>
        </w:rPr>
        <w:t>* Positionnement de l'image de la Fondation à travers le travail dans les réseaux sociaux tant des professionnels de l'institution que des consultants externes, faisant ainsi de notre organisation une référence dans le domaine de l'enseignement, de la santé et des groupes prioritaires.</w:t>
      </w:r>
    </w:p>
    <w:p w14:paraId="7C2A537C" w14:textId="77777777" w:rsidR="00A3309F" w:rsidRPr="00A3309F" w:rsidRDefault="00A3309F" w:rsidP="00A3309F">
      <w:pPr>
        <w:spacing w:after="0" w:line="240" w:lineRule="auto"/>
        <w:rPr>
          <w:rFonts w:asciiTheme="majorHAnsi" w:eastAsia="Times New Roman" w:hAnsiTheme="majorHAnsi" w:cstheme="majorHAnsi"/>
          <w:color w:val="000000"/>
          <w:lang w:eastAsia="fr-FR"/>
        </w:rPr>
      </w:pPr>
      <w:r w:rsidRPr="00A3309F">
        <w:rPr>
          <w:rFonts w:asciiTheme="majorHAnsi" w:eastAsia="Times New Roman" w:hAnsiTheme="majorHAnsi" w:cstheme="majorHAnsi"/>
          <w:color w:val="000000"/>
          <w:lang w:eastAsia="fr-FR"/>
        </w:rPr>
        <w:t>*Renforcer le lien entre les parents et les professionnels, en offrant un accompagnement continu dans les processus que l'institution a adaptés, en obtenant ainsi une clôture satisfaisante sur le plan thérapeutique, pédagogique, émotionnel et de la coresponsabilité.</w:t>
      </w:r>
      <w:r w:rsidR="005B2389" w:rsidRPr="00A3309F">
        <w:rPr>
          <w:rFonts w:asciiTheme="majorHAnsi" w:eastAsia="Times New Roman" w:hAnsiTheme="majorHAnsi" w:cstheme="majorHAnsi"/>
          <w:color w:val="000000"/>
          <w:lang w:eastAsia="fr-FR"/>
        </w:rPr>
        <w:br/>
      </w:r>
      <w:r w:rsidRPr="00A3309F">
        <w:rPr>
          <w:rFonts w:asciiTheme="majorHAnsi" w:eastAsia="Times New Roman" w:hAnsiTheme="majorHAnsi" w:cstheme="majorHAnsi"/>
          <w:b/>
          <w:bCs/>
          <w:color w:val="000000"/>
          <w:lang w:eastAsia="fr-FR"/>
        </w:rPr>
        <w:t>Négatifs :</w:t>
      </w:r>
      <w:r w:rsidR="005B2389" w:rsidRPr="00A3309F">
        <w:rPr>
          <w:rFonts w:asciiTheme="majorHAnsi" w:eastAsia="Times New Roman" w:hAnsiTheme="majorHAnsi" w:cstheme="majorHAnsi"/>
          <w:color w:val="000000"/>
          <w:lang w:eastAsia="fr-FR"/>
        </w:rPr>
        <w:br/>
      </w:r>
      <w:r w:rsidRPr="00A3309F">
        <w:rPr>
          <w:rFonts w:asciiTheme="majorHAnsi" w:eastAsia="Times New Roman" w:hAnsiTheme="majorHAnsi" w:cstheme="majorHAnsi"/>
          <w:color w:val="000000"/>
          <w:lang w:eastAsia="fr-FR"/>
        </w:rPr>
        <w:t>* Achèvement de l'année scolaire de manière virtuelle, paralysant ainsi des projets tels que LILO et CEPITO SOLIDARIO</w:t>
      </w:r>
    </w:p>
    <w:p w14:paraId="7ED1A624" w14:textId="77777777" w:rsidR="00A3309F" w:rsidRPr="00A3309F" w:rsidRDefault="00A3309F" w:rsidP="00A3309F">
      <w:pPr>
        <w:spacing w:after="0" w:line="240" w:lineRule="auto"/>
        <w:rPr>
          <w:rFonts w:asciiTheme="majorHAnsi" w:eastAsia="Times New Roman" w:hAnsiTheme="majorHAnsi" w:cstheme="majorHAnsi"/>
          <w:color w:val="000000"/>
          <w:lang w:eastAsia="fr-FR"/>
        </w:rPr>
      </w:pPr>
      <w:r w:rsidRPr="00A3309F">
        <w:rPr>
          <w:rFonts w:asciiTheme="majorHAnsi" w:eastAsia="Times New Roman" w:hAnsiTheme="majorHAnsi" w:cstheme="majorHAnsi"/>
          <w:color w:val="000000"/>
          <w:lang w:eastAsia="fr-FR"/>
        </w:rPr>
        <w:t>* Diminution du coût des services fournis par la Fondation pour promouvoir la continuité des enfants et des adolescents.</w:t>
      </w:r>
    </w:p>
    <w:p w14:paraId="4BDFBB13" w14:textId="77777777" w:rsidR="00A3309F" w:rsidRPr="00A3309F" w:rsidRDefault="00A3309F" w:rsidP="00A3309F">
      <w:pPr>
        <w:spacing w:after="0" w:line="240" w:lineRule="auto"/>
        <w:rPr>
          <w:rFonts w:asciiTheme="majorHAnsi" w:eastAsia="Times New Roman" w:hAnsiTheme="majorHAnsi" w:cstheme="majorHAnsi"/>
          <w:color w:val="000000"/>
          <w:lang w:eastAsia="fr-FR"/>
        </w:rPr>
      </w:pPr>
      <w:r w:rsidRPr="00A3309F">
        <w:rPr>
          <w:rFonts w:asciiTheme="majorHAnsi" w:eastAsia="Times New Roman" w:hAnsiTheme="majorHAnsi" w:cstheme="majorHAnsi"/>
          <w:color w:val="000000"/>
          <w:lang w:eastAsia="fr-FR"/>
        </w:rPr>
        <w:t>* Octroi de bourses et de subventions en pourcentage élevé, affectant le budget annuel généré dans ce service.</w:t>
      </w:r>
    </w:p>
    <w:p w14:paraId="61189574" w14:textId="77777777" w:rsidR="00A3309F" w:rsidRPr="00A3309F" w:rsidRDefault="00A3309F" w:rsidP="00A3309F">
      <w:pPr>
        <w:spacing w:after="0" w:line="240" w:lineRule="auto"/>
        <w:rPr>
          <w:rFonts w:asciiTheme="majorHAnsi" w:eastAsia="Times New Roman" w:hAnsiTheme="majorHAnsi" w:cstheme="majorHAnsi"/>
          <w:color w:val="000000"/>
          <w:lang w:eastAsia="fr-FR"/>
        </w:rPr>
      </w:pPr>
      <w:r w:rsidRPr="00A3309F">
        <w:rPr>
          <w:rFonts w:asciiTheme="majorHAnsi" w:eastAsia="Times New Roman" w:hAnsiTheme="majorHAnsi" w:cstheme="majorHAnsi"/>
          <w:color w:val="000000"/>
          <w:lang w:eastAsia="fr-FR"/>
        </w:rPr>
        <w:t>*Conditionnement des dettes acquises pour des services avant la pandémie afin de garantir la permanence et l'attention aux bénéficiaires qui présentaient des risques économiques, physiques et sanitaires plus importants.</w:t>
      </w:r>
    </w:p>
    <w:p w14:paraId="072A5CE9" w14:textId="77777777" w:rsidR="00A3309F" w:rsidRPr="00A3309F" w:rsidRDefault="00A3309F" w:rsidP="00A3309F">
      <w:pPr>
        <w:spacing w:after="0" w:line="240" w:lineRule="auto"/>
        <w:rPr>
          <w:rFonts w:asciiTheme="majorHAnsi" w:eastAsia="Times New Roman" w:hAnsiTheme="majorHAnsi" w:cstheme="majorHAnsi"/>
          <w:color w:val="000000"/>
          <w:lang w:eastAsia="fr-FR"/>
        </w:rPr>
      </w:pPr>
      <w:r w:rsidRPr="00A3309F">
        <w:rPr>
          <w:rFonts w:asciiTheme="majorHAnsi" w:eastAsia="Times New Roman" w:hAnsiTheme="majorHAnsi" w:cstheme="majorHAnsi"/>
          <w:color w:val="000000"/>
          <w:lang w:eastAsia="fr-FR"/>
        </w:rPr>
        <w:t>* Désertion des patients de la Fondation en raison de la situation économique à cause d'une diminution des salaires et même de la perte de travail des parents.</w:t>
      </w:r>
    </w:p>
    <w:p w14:paraId="7F3AFAFB" w14:textId="77777777" w:rsidR="00A3309F" w:rsidRPr="00A3309F" w:rsidRDefault="00A3309F" w:rsidP="00A3309F">
      <w:pPr>
        <w:spacing w:after="0" w:line="240" w:lineRule="auto"/>
        <w:rPr>
          <w:rFonts w:asciiTheme="majorHAnsi" w:eastAsia="Times New Roman" w:hAnsiTheme="majorHAnsi" w:cstheme="majorHAnsi"/>
          <w:color w:val="000000"/>
          <w:lang w:eastAsia="fr-FR"/>
        </w:rPr>
      </w:pPr>
      <w:r w:rsidRPr="00A3309F">
        <w:rPr>
          <w:rFonts w:asciiTheme="majorHAnsi" w:eastAsia="Times New Roman" w:hAnsiTheme="majorHAnsi" w:cstheme="majorHAnsi"/>
          <w:color w:val="000000"/>
          <w:lang w:eastAsia="fr-FR"/>
        </w:rPr>
        <w:t>* Diminution des soins dans tous les domaines, depuis la pandémie. Plusieurs familles ont décidé de quitter la ville et de retourner dans leur ville natale parce qu'elles avaient perdu leurs revenus économiques de manière formelle ou informelle (affectant le paiement du loyer, des services, de la nourriture et de la santé).</w:t>
      </w:r>
    </w:p>
    <w:p w14:paraId="14BB730F" w14:textId="77777777" w:rsidR="00A3309F" w:rsidRPr="00A3309F" w:rsidRDefault="00A3309F" w:rsidP="00A3309F">
      <w:pPr>
        <w:spacing w:after="0" w:line="240" w:lineRule="auto"/>
        <w:rPr>
          <w:rFonts w:asciiTheme="majorHAnsi" w:eastAsia="Times New Roman" w:hAnsiTheme="majorHAnsi" w:cstheme="majorHAnsi"/>
          <w:color w:val="000000"/>
          <w:lang w:eastAsia="fr-FR"/>
        </w:rPr>
      </w:pPr>
      <w:r w:rsidRPr="00A3309F">
        <w:rPr>
          <w:rFonts w:asciiTheme="majorHAnsi" w:eastAsia="Times New Roman" w:hAnsiTheme="majorHAnsi" w:cstheme="majorHAnsi"/>
          <w:color w:val="000000"/>
          <w:lang w:eastAsia="fr-FR"/>
        </w:rPr>
        <w:t>*Diminution du temps de travail et des salaires des professionnels du CMFJJ</w:t>
      </w:r>
    </w:p>
    <w:p w14:paraId="7639D44C" w14:textId="77777777" w:rsidR="00A3309F" w:rsidRPr="00A3309F" w:rsidRDefault="00A3309F" w:rsidP="00A3309F">
      <w:pPr>
        <w:spacing w:after="0" w:line="240" w:lineRule="auto"/>
        <w:rPr>
          <w:rFonts w:asciiTheme="majorHAnsi" w:eastAsia="Times New Roman" w:hAnsiTheme="majorHAnsi" w:cstheme="majorHAnsi"/>
          <w:color w:val="000000"/>
          <w:lang w:eastAsia="fr-FR"/>
        </w:rPr>
      </w:pPr>
      <w:r w:rsidRPr="00A3309F">
        <w:rPr>
          <w:rFonts w:asciiTheme="majorHAnsi" w:eastAsia="Times New Roman" w:hAnsiTheme="majorHAnsi" w:cstheme="majorHAnsi"/>
          <w:color w:val="000000"/>
          <w:lang w:eastAsia="fr-FR"/>
        </w:rPr>
        <w:t>* La réduction de l'attention et la disponibilité des horaires ont fait que l'équipe de la FCSJJ a cherché de nouvelles propositions dans le but de diffuser des expériences et des connaissances, de maintenir le contact avec la communauté et de générer un revenu économique pour l'institution.</w:t>
      </w:r>
    </w:p>
    <w:p w14:paraId="7074FF1A" w14:textId="23925D40" w:rsidR="00740547" w:rsidRPr="00A3309F" w:rsidRDefault="00740547" w:rsidP="00740547">
      <w:pPr>
        <w:spacing w:after="0" w:line="240" w:lineRule="auto"/>
        <w:rPr>
          <w:rFonts w:asciiTheme="majorHAnsi" w:hAnsiTheme="majorHAnsi" w:cstheme="majorHAnsi"/>
          <w:b/>
        </w:rPr>
      </w:pPr>
    </w:p>
    <w:p w14:paraId="536B8593" w14:textId="77777777" w:rsidR="00740547" w:rsidRPr="00A3309F" w:rsidRDefault="00740547" w:rsidP="00740547">
      <w:pPr>
        <w:spacing w:after="0" w:line="240" w:lineRule="auto"/>
        <w:rPr>
          <w:rFonts w:asciiTheme="majorHAnsi" w:hAnsiTheme="majorHAnsi" w:cstheme="majorHAnsi"/>
          <w:b/>
        </w:rPr>
      </w:pPr>
    </w:p>
    <w:p w14:paraId="5EF03F6D" w14:textId="77777777" w:rsidR="00740547" w:rsidRPr="00A3309F" w:rsidRDefault="00740547" w:rsidP="00740547">
      <w:pPr>
        <w:spacing w:after="0" w:line="240" w:lineRule="auto"/>
        <w:rPr>
          <w:rFonts w:asciiTheme="majorHAnsi" w:hAnsiTheme="majorHAnsi" w:cstheme="majorHAnsi"/>
          <w:b/>
        </w:rPr>
      </w:pPr>
    </w:p>
    <w:p w14:paraId="65B28804" w14:textId="0D18E21D" w:rsidR="003F64C3" w:rsidRPr="00A3309F" w:rsidRDefault="003F64C3" w:rsidP="003F64C3">
      <w:pPr>
        <w:spacing w:after="0" w:line="240" w:lineRule="auto"/>
        <w:rPr>
          <w:rFonts w:asciiTheme="majorHAnsi" w:hAnsiTheme="majorHAnsi" w:cstheme="majorHAnsi"/>
        </w:rPr>
      </w:pPr>
    </w:p>
    <w:p w14:paraId="0EA73227" w14:textId="77777777" w:rsidR="003F64C3" w:rsidRPr="00A3309F" w:rsidRDefault="003F64C3" w:rsidP="003F64C3">
      <w:pPr>
        <w:spacing w:after="0" w:line="240" w:lineRule="auto"/>
        <w:rPr>
          <w:rFonts w:asciiTheme="majorHAnsi" w:hAnsiTheme="majorHAnsi" w:cstheme="majorHAnsi"/>
        </w:rPr>
      </w:pPr>
    </w:p>
    <w:sectPr w:rsidR="003F64C3" w:rsidRPr="00A3309F" w:rsidSect="00103F0E">
      <w:footerReference w:type="default" r:id="rId12"/>
      <w:pgSz w:w="11906" w:h="16838"/>
      <w:pgMar w:top="1417" w:right="1417" w:bottom="1417" w:left="1417" w:header="708"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81275B" w14:textId="77777777" w:rsidR="004D7C81" w:rsidRDefault="004D7C81" w:rsidP="00103F0E">
      <w:pPr>
        <w:spacing w:after="0" w:line="240" w:lineRule="auto"/>
      </w:pPr>
      <w:r>
        <w:separator/>
      </w:r>
    </w:p>
  </w:endnote>
  <w:endnote w:type="continuationSeparator" w:id="0">
    <w:p w14:paraId="1DB8C291" w14:textId="77777777" w:rsidR="004D7C81" w:rsidRDefault="004D7C81" w:rsidP="00103F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81629334"/>
      <w:docPartObj>
        <w:docPartGallery w:val="Page Numbers (Bottom of Page)"/>
        <w:docPartUnique/>
      </w:docPartObj>
    </w:sdtPr>
    <w:sdtEndPr/>
    <w:sdtContent>
      <w:p w14:paraId="4FA89DE9" w14:textId="77777777" w:rsidR="00103F0E" w:rsidRDefault="00103F0E">
        <w:pPr>
          <w:pStyle w:val="Pieddepage"/>
          <w:jc w:val="right"/>
        </w:pPr>
        <w:r>
          <w:fldChar w:fldCharType="begin"/>
        </w:r>
        <w:r>
          <w:instrText>PAGE   \* MERGEFORMAT</w:instrText>
        </w:r>
        <w:r>
          <w:fldChar w:fldCharType="separate"/>
        </w:r>
        <w:r>
          <w:rPr>
            <w:noProof/>
          </w:rPr>
          <w:t>2</w:t>
        </w:r>
        <w:r>
          <w:fldChar w:fldCharType="end"/>
        </w:r>
      </w:p>
    </w:sdtContent>
  </w:sdt>
  <w:p w14:paraId="12BEE517" w14:textId="77777777" w:rsidR="00103F0E" w:rsidRDefault="00103F0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BACFE3" w14:textId="77777777" w:rsidR="004D7C81" w:rsidRDefault="004D7C81" w:rsidP="00103F0E">
      <w:pPr>
        <w:spacing w:after="0" w:line="240" w:lineRule="auto"/>
      </w:pPr>
      <w:r>
        <w:separator/>
      </w:r>
    </w:p>
  </w:footnote>
  <w:footnote w:type="continuationSeparator" w:id="0">
    <w:p w14:paraId="20174015" w14:textId="77777777" w:rsidR="004D7C81" w:rsidRDefault="004D7C81" w:rsidP="00103F0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A067E6"/>
    <w:multiLevelType w:val="hybridMultilevel"/>
    <w:tmpl w:val="8272ACE0"/>
    <w:lvl w:ilvl="0" w:tplc="4E0EC566">
      <w:start w:val="11"/>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58F3D9F"/>
    <w:multiLevelType w:val="hybridMultilevel"/>
    <w:tmpl w:val="ED4039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06E5192"/>
    <w:multiLevelType w:val="hybridMultilevel"/>
    <w:tmpl w:val="5590D448"/>
    <w:lvl w:ilvl="0" w:tplc="6234F128">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3896C2D"/>
    <w:multiLevelType w:val="hybridMultilevel"/>
    <w:tmpl w:val="5D5C1BAA"/>
    <w:lvl w:ilvl="0" w:tplc="53C4EF70">
      <w:start w:val="11"/>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82E74C9"/>
    <w:multiLevelType w:val="hybridMultilevel"/>
    <w:tmpl w:val="17440836"/>
    <w:lvl w:ilvl="0" w:tplc="4E0EC566">
      <w:start w:val="11"/>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5BD72FA"/>
    <w:multiLevelType w:val="hybridMultilevel"/>
    <w:tmpl w:val="3F54FB52"/>
    <w:lvl w:ilvl="0" w:tplc="6234F128">
      <w:numFmt w:val="bullet"/>
      <w:lvlText w:val="-"/>
      <w:lvlJc w:val="left"/>
      <w:pPr>
        <w:ind w:left="1080" w:hanging="360"/>
      </w:pPr>
      <w:rPr>
        <w:rFonts w:ascii="Times New Roman" w:eastAsiaTheme="minorHAnsi"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56011EC9"/>
    <w:multiLevelType w:val="hybridMultilevel"/>
    <w:tmpl w:val="8B42E24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2505CF1"/>
    <w:multiLevelType w:val="hybridMultilevel"/>
    <w:tmpl w:val="3A2C187C"/>
    <w:lvl w:ilvl="0" w:tplc="040C000D">
      <w:start w:val="1"/>
      <w:numFmt w:val="bullet"/>
      <w:lvlText w:val=""/>
      <w:lvlJc w:val="left"/>
      <w:pPr>
        <w:ind w:left="720" w:hanging="360"/>
      </w:pPr>
      <w:rPr>
        <w:rFonts w:ascii="Wingdings" w:hAnsi="Wingdings" w:hint="default"/>
      </w:rPr>
    </w:lvl>
    <w:lvl w:ilvl="1" w:tplc="83C82600">
      <w:start w:val="1"/>
      <w:numFmt w:val="bullet"/>
      <w:lvlText w:val="-"/>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0"/>
  </w:num>
  <w:num w:numId="4">
    <w:abstractNumId w:val="4"/>
  </w:num>
  <w:num w:numId="5">
    <w:abstractNumId w:val="2"/>
  </w:num>
  <w:num w:numId="6">
    <w:abstractNumId w:val="5"/>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6E2E"/>
    <w:rsid w:val="000500AA"/>
    <w:rsid w:val="00103F0E"/>
    <w:rsid w:val="00156049"/>
    <w:rsid w:val="00175661"/>
    <w:rsid w:val="00195435"/>
    <w:rsid w:val="0025410E"/>
    <w:rsid w:val="002628E1"/>
    <w:rsid w:val="00365552"/>
    <w:rsid w:val="0038492C"/>
    <w:rsid w:val="003F64C3"/>
    <w:rsid w:val="00476831"/>
    <w:rsid w:val="004868F6"/>
    <w:rsid w:val="004D7C81"/>
    <w:rsid w:val="004E1F5D"/>
    <w:rsid w:val="00540DD1"/>
    <w:rsid w:val="005B2389"/>
    <w:rsid w:val="005E307A"/>
    <w:rsid w:val="00691258"/>
    <w:rsid w:val="006C64DE"/>
    <w:rsid w:val="006D4540"/>
    <w:rsid w:val="00740547"/>
    <w:rsid w:val="00744803"/>
    <w:rsid w:val="0082239C"/>
    <w:rsid w:val="008428A7"/>
    <w:rsid w:val="008B033B"/>
    <w:rsid w:val="008F3736"/>
    <w:rsid w:val="00964934"/>
    <w:rsid w:val="00A3309F"/>
    <w:rsid w:val="00A647A5"/>
    <w:rsid w:val="00A86E2E"/>
    <w:rsid w:val="00AF05D7"/>
    <w:rsid w:val="00AF653B"/>
    <w:rsid w:val="00B1122C"/>
    <w:rsid w:val="00B76A3E"/>
    <w:rsid w:val="00BE0E45"/>
    <w:rsid w:val="00BF171E"/>
    <w:rsid w:val="00BF34B5"/>
    <w:rsid w:val="00C40D93"/>
    <w:rsid w:val="00C70413"/>
    <w:rsid w:val="00C76A03"/>
    <w:rsid w:val="00C8109E"/>
    <w:rsid w:val="00C84564"/>
    <w:rsid w:val="00E46487"/>
    <w:rsid w:val="00E7688B"/>
    <w:rsid w:val="00E77EE0"/>
    <w:rsid w:val="00F3663E"/>
    <w:rsid w:val="00F76EAB"/>
    <w:rsid w:val="00FB68A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B341C5"/>
  <w15:chartTrackingRefBased/>
  <w15:docId w15:val="{2E0A0715-D435-403F-9057-1B4D7F816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A86E2E"/>
    <w:rPr>
      <w:color w:val="0563C1" w:themeColor="hyperlink"/>
      <w:u w:val="single"/>
    </w:rPr>
  </w:style>
  <w:style w:type="paragraph" w:styleId="Paragraphedeliste">
    <w:name w:val="List Paragraph"/>
    <w:basedOn w:val="Normal"/>
    <w:uiPriority w:val="34"/>
    <w:qFormat/>
    <w:rsid w:val="008F3736"/>
    <w:pPr>
      <w:ind w:left="720"/>
      <w:contextualSpacing/>
    </w:pPr>
  </w:style>
  <w:style w:type="paragraph" w:styleId="En-tte">
    <w:name w:val="header"/>
    <w:basedOn w:val="Normal"/>
    <w:link w:val="En-tteCar"/>
    <w:uiPriority w:val="99"/>
    <w:unhideWhenUsed/>
    <w:rsid w:val="00103F0E"/>
    <w:pPr>
      <w:tabs>
        <w:tab w:val="center" w:pos="4536"/>
        <w:tab w:val="right" w:pos="9072"/>
      </w:tabs>
      <w:spacing w:after="0" w:line="240" w:lineRule="auto"/>
    </w:pPr>
  </w:style>
  <w:style w:type="character" w:customStyle="1" w:styleId="En-tteCar">
    <w:name w:val="En-tête Car"/>
    <w:basedOn w:val="Policepardfaut"/>
    <w:link w:val="En-tte"/>
    <w:uiPriority w:val="99"/>
    <w:rsid w:val="00103F0E"/>
  </w:style>
  <w:style w:type="paragraph" w:styleId="Pieddepage">
    <w:name w:val="footer"/>
    <w:basedOn w:val="Normal"/>
    <w:link w:val="PieddepageCar"/>
    <w:uiPriority w:val="99"/>
    <w:unhideWhenUsed/>
    <w:rsid w:val="00103F0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03F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8162547">
      <w:bodyDiv w:val="1"/>
      <w:marLeft w:val="0"/>
      <w:marRight w:val="0"/>
      <w:marTop w:val="0"/>
      <w:marBottom w:val="0"/>
      <w:divBdr>
        <w:top w:val="none" w:sz="0" w:space="0" w:color="auto"/>
        <w:left w:val="none" w:sz="0" w:space="0" w:color="auto"/>
        <w:bottom w:val="none" w:sz="0" w:space="0" w:color="auto"/>
        <w:right w:val="none" w:sz="0" w:space="0" w:color="auto"/>
      </w:divBdr>
    </w:div>
    <w:div w:id="111752068">
      <w:bodyDiv w:val="1"/>
      <w:marLeft w:val="0"/>
      <w:marRight w:val="0"/>
      <w:marTop w:val="0"/>
      <w:marBottom w:val="0"/>
      <w:divBdr>
        <w:top w:val="none" w:sz="0" w:space="0" w:color="auto"/>
        <w:left w:val="none" w:sz="0" w:space="0" w:color="auto"/>
        <w:bottom w:val="none" w:sz="0" w:space="0" w:color="auto"/>
        <w:right w:val="none" w:sz="0" w:space="0" w:color="auto"/>
      </w:divBdr>
    </w:div>
    <w:div w:id="428157928">
      <w:bodyDiv w:val="1"/>
      <w:marLeft w:val="0"/>
      <w:marRight w:val="0"/>
      <w:marTop w:val="0"/>
      <w:marBottom w:val="0"/>
      <w:divBdr>
        <w:top w:val="none" w:sz="0" w:space="0" w:color="auto"/>
        <w:left w:val="none" w:sz="0" w:space="0" w:color="auto"/>
        <w:bottom w:val="none" w:sz="0" w:space="0" w:color="auto"/>
        <w:right w:val="none" w:sz="0" w:space="0" w:color="auto"/>
      </w:divBdr>
    </w:div>
    <w:div w:id="431164513">
      <w:bodyDiv w:val="1"/>
      <w:marLeft w:val="0"/>
      <w:marRight w:val="0"/>
      <w:marTop w:val="0"/>
      <w:marBottom w:val="0"/>
      <w:divBdr>
        <w:top w:val="none" w:sz="0" w:space="0" w:color="auto"/>
        <w:left w:val="none" w:sz="0" w:space="0" w:color="auto"/>
        <w:bottom w:val="none" w:sz="0" w:space="0" w:color="auto"/>
        <w:right w:val="none" w:sz="0" w:space="0" w:color="auto"/>
      </w:divBdr>
    </w:div>
    <w:div w:id="445152472">
      <w:bodyDiv w:val="1"/>
      <w:marLeft w:val="0"/>
      <w:marRight w:val="0"/>
      <w:marTop w:val="0"/>
      <w:marBottom w:val="0"/>
      <w:divBdr>
        <w:top w:val="none" w:sz="0" w:space="0" w:color="auto"/>
        <w:left w:val="none" w:sz="0" w:space="0" w:color="auto"/>
        <w:bottom w:val="none" w:sz="0" w:space="0" w:color="auto"/>
        <w:right w:val="none" w:sz="0" w:space="0" w:color="auto"/>
      </w:divBdr>
    </w:div>
    <w:div w:id="475487326">
      <w:bodyDiv w:val="1"/>
      <w:marLeft w:val="0"/>
      <w:marRight w:val="0"/>
      <w:marTop w:val="0"/>
      <w:marBottom w:val="0"/>
      <w:divBdr>
        <w:top w:val="none" w:sz="0" w:space="0" w:color="auto"/>
        <w:left w:val="none" w:sz="0" w:space="0" w:color="auto"/>
        <w:bottom w:val="none" w:sz="0" w:space="0" w:color="auto"/>
        <w:right w:val="none" w:sz="0" w:space="0" w:color="auto"/>
      </w:divBdr>
    </w:div>
    <w:div w:id="497234600">
      <w:bodyDiv w:val="1"/>
      <w:marLeft w:val="0"/>
      <w:marRight w:val="0"/>
      <w:marTop w:val="0"/>
      <w:marBottom w:val="0"/>
      <w:divBdr>
        <w:top w:val="none" w:sz="0" w:space="0" w:color="auto"/>
        <w:left w:val="none" w:sz="0" w:space="0" w:color="auto"/>
        <w:bottom w:val="none" w:sz="0" w:space="0" w:color="auto"/>
        <w:right w:val="none" w:sz="0" w:space="0" w:color="auto"/>
      </w:divBdr>
    </w:div>
    <w:div w:id="568270254">
      <w:bodyDiv w:val="1"/>
      <w:marLeft w:val="0"/>
      <w:marRight w:val="0"/>
      <w:marTop w:val="0"/>
      <w:marBottom w:val="0"/>
      <w:divBdr>
        <w:top w:val="none" w:sz="0" w:space="0" w:color="auto"/>
        <w:left w:val="none" w:sz="0" w:space="0" w:color="auto"/>
        <w:bottom w:val="none" w:sz="0" w:space="0" w:color="auto"/>
        <w:right w:val="none" w:sz="0" w:space="0" w:color="auto"/>
      </w:divBdr>
    </w:div>
    <w:div w:id="655841253">
      <w:bodyDiv w:val="1"/>
      <w:marLeft w:val="0"/>
      <w:marRight w:val="0"/>
      <w:marTop w:val="0"/>
      <w:marBottom w:val="0"/>
      <w:divBdr>
        <w:top w:val="none" w:sz="0" w:space="0" w:color="auto"/>
        <w:left w:val="none" w:sz="0" w:space="0" w:color="auto"/>
        <w:bottom w:val="none" w:sz="0" w:space="0" w:color="auto"/>
        <w:right w:val="none" w:sz="0" w:space="0" w:color="auto"/>
      </w:divBdr>
    </w:div>
    <w:div w:id="975523189">
      <w:bodyDiv w:val="1"/>
      <w:marLeft w:val="0"/>
      <w:marRight w:val="0"/>
      <w:marTop w:val="0"/>
      <w:marBottom w:val="0"/>
      <w:divBdr>
        <w:top w:val="none" w:sz="0" w:space="0" w:color="auto"/>
        <w:left w:val="none" w:sz="0" w:space="0" w:color="auto"/>
        <w:bottom w:val="none" w:sz="0" w:space="0" w:color="auto"/>
        <w:right w:val="none" w:sz="0" w:space="0" w:color="auto"/>
      </w:divBdr>
    </w:div>
    <w:div w:id="1257710042">
      <w:bodyDiv w:val="1"/>
      <w:marLeft w:val="0"/>
      <w:marRight w:val="0"/>
      <w:marTop w:val="0"/>
      <w:marBottom w:val="0"/>
      <w:divBdr>
        <w:top w:val="none" w:sz="0" w:space="0" w:color="auto"/>
        <w:left w:val="none" w:sz="0" w:space="0" w:color="auto"/>
        <w:bottom w:val="none" w:sz="0" w:space="0" w:color="auto"/>
        <w:right w:val="none" w:sz="0" w:space="0" w:color="auto"/>
      </w:divBdr>
    </w:div>
    <w:div w:id="1275018425">
      <w:bodyDiv w:val="1"/>
      <w:marLeft w:val="0"/>
      <w:marRight w:val="0"/>
      <w:marTop w:val="0"/>
      <w:marBottom w:val="0"/>
      <w:divBdr>
        <w:top w:val="none" w:sz="0" w:space="0" w:color="auto"/>
        <w:left w:val="none" w:sz="0" w:space="0" w:color="auto"/>
        <w:bottom w:val="none" w:sz="0" w:space="0" w:color="auto"/>
        <w:right w:val="none" w:sz="0" w:space="0" w:color="auto"/>
      </w:divBdr>
    </w:div>
    <w:div w:id="1291279838">
      <w:bodyDiv w:val="1"/>
      <w:marLeft w:val="0"/>
      <w:marRight w:val="0"/>
      <w:marTop w:val="0"/>
      <w:marBottom w:val="0"/>
      <w:divBdr>
        <w:top w:val="none" w:sz="0" w:space="0" w:color="auto"/>
        <w:left w:val="none" w:sz="0" w:space="0" w:color="auto"/>
        <w:bottom w:val="none" w:sz="0" w:space="0" w:color="auto"/>
        <w:right w:val="none" w:sz="0" w:space="0" w:color="auto"/>
      </w:divBdr>
    </w:div>
    <w:div w:id="1324314764">
      <w:bodyDiv w:val="1"/>
      <w:marLeft w:val="0"/>
      <w:marRight w:val="0"/>
      <w:marTop w:val="0"/>
      <w:marBottom w:val="0"/>
      <w:divBdr>
        <w:top w:val="none" w:sz="0" w:space="0" w:color="auto"/>
        <w:left w:val="none" w:sz="0" w:space="0" w:color="auto"/>
        <w:bottom w:val="none" w:sz="0" w:space="0" w:color="auto"/>
        <w:right w:val="none" w:sz="0" w:space="0" w:color="auto"/>
      </w:divBdr>
    </w:div>
    <w:div w:id="1544780901">
      <w:bodyDiv w:val="1"/>
      <w:marLeft w:val="0"/>
      <w:marRight w:val="0"/>
      <w:marTop w:val="0"/>
      <w:marBottom w:val="0"/>
      <w:divBdr>
        <w:top w:val="none" w:sz="0" w:space="0" w:color="auto"/>
        <w:left w:val="none" w:sz="0" w:space="0" w:color="auto"/>
        <w:bottom w:val="none" w:sz="0" w:space="0" w:color="auto"/>
        <w:right w:val="none" w:sz="0" w:space="0" w:color="auto"/>
      </w:divBdr>
    </w:div>
    <w:div w:id="1667129488">
      <w:bodyDiv w:val="1"/>
      <w:marLeft w:val="0"/>
      <w:marRight w:val="0"/>
      <w:marTop w:val="0"/>
      <w:marBottom w:val="0"/>
      <w:divBdr>
        <w:top w:val="none" w:sz="0" w:space="0" w:color="auto"/>
        <w:left w:val="none" w:sz="0" w:space="0" w:color="auto"/>
        <w:bottom w:val="none" w:sz="0" w:space="0" w:color="auto"/>
        <w:right w:val="none" w:sz="0" w:space="0" w:color="auto"/>
      </w:divBdr>
    </w:div>
    <w:div w:id="1905532453">
      <w:bodyDiv w:val="1"/>
      <w:marLeft w:val="0"/>
      <w:marRight w:val="0"/>
      <w:marTop w:val="0"/>
      <w:marBottom w:val="0"/>
      <w:divBdr>
        <w:top w:val="none" w:sz="0" w:space="0" w:color="auto"/>
        <w:left w:val="none" w:sz="0" w:space="0" w:color="auto"/>
        <w:bottom w:val="none" w:sz="0" w:space="0" w:color="auto"/>
        <w:right w:val="none" w:sz="0" w:space="0" w:color="auto"/>
      </w:divBdr>
    </w:div>
    <w:div w:id="2092194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DE7D5F4C5F54841A739FA36E208D600" ma:contentTypeVersion="12" ma:contentTypeDescription="Crée un document." ma:contentTypeScope="" ma:versionID="c40a022960720e049a80472eecdab9db">
  <xsd:schema xmlns:xsd="http://www.w3.org/2001/XMLSchema" xmlns:xs="http://www.w3.org/2001/XMLSchema" xmlns:p="http://schemas.microsoft.com/office/2006/metadata/properties" xmlns:ns2="049611dc-f4e0-4b18-9df5-a2e2790cc77a" xmlns:ns3="bacc1d3e-f4d5-4571-ac80-c4f8e72f48f7" targetNamespace="http://schemas.microsoft.com/office/2006/metadata/properties" ma:root="true" ma:fieldsID="030c3efc5520f96a4c1ae692ed44a834" ns2:_="" ns3:_="">
    <xsd:import namespace="049611dc-f4e0-4b18-9df5-a2e2790cc77a"/>
    <xsd:import namespace="bacc1d3e-f4d5-4571-ac80-c4f8e72f48f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9611dc-f4e0-4b18-9df5-a2e2790cc7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cc1d3e-f4d5-4571-ac80-c4f8e72f48f7" elementFormDefault="qualified">
    <xsd:import namespace="http://schemas.microsoft.com/office/2006/documentManagement/types"/>
    <xsd:import namespace="http://schemas.microsoft.com/office/infopath/2007/PartnerControls"/>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7747BD6-D21F-4BAC-A719-EACC396EA9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9611dc-f4e0-4b18-9df5-a2e2790cc77a"/>
    <ds:schemaRef ds:uri="bacc1d3e-f4d5-4571-ac80-c4f8e72f48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54586EF-DA79-44CD-B62D-449D76E2E1C7}">
  <ds:schemaRefs>
    <ds:schemaRef ds:uri="http://schemas.openxmlformats.org/officeDocument/2006/bibliography"/>
  </ds:schemaRefs>
</ds:datastoreItem>
</file>

<file path=customXml/itemProps3.xml><?xml version="1.0" encoding="utf-8"?>
<ds:datastoreItem xmlns:ds="http://schemas.openxmlformats.org/officeDocument/2006/customXml" ds:itemID="{E5CBB9E1-AEE7-40A2-8978-D9BA92F98D3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15CF993-4F68-4EAD-98DF-1D4817F9E8C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6</Pages>
  <Words>2896</Words>
  <Characters>15930</Characters>
  <Application>Microsoft Office Word</Application>
  <DocSecurity>0</DocSecurity>
  <Lines>132</Lines>
  <Paragraphs>37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Nahuel Dumenil</dc:creator>
  <cp:keywords/>
  <dc:description/>
  <cp:lastModifiedBy>Nahuel DUMENIL</cp:lastModifiedBy>
  <cp:revision>4</cp:revision>
  <dcterms:created xsi:type="dcterms:W3CDTF">2020-09-11T12:29:00Z</dcterms:created>
  <dcterms:modified xsi:type="dcterms:W3CDTF">2020-09-11T13:45:00Z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0x010100CDE7D5F4C5F54841A739FA36E208D600</vt:lpwstr>
  </property>
</Properties>
</file>